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bmp" ContentType="image/bmp"/>
  <Default Extension="emf" ContentType="image/x-emf"/>
  <Default Extension="wmf" ContentType="image/x-wmf"/>
  <Default Extension="gif" ContentType="image/gif"/>
  <Default Extension="ico" ContentType="image/x-icon"/>
  <Default Extension="tif" ContentType="image/tiff"/>
  <Default Extension="tiff" ContentType="image/tiff"/>
  <Default Extension="jpeg" ContentType="image/jpeg"/>
  <Default Extension="jpg" ContentType="image/jpeg"/>
  <Default Extension="svg" ContentType="image/svg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3.xml" ContentType="application/vnd.openxmlformats-officedocument.wordprocessingml.footer+xml"/>
  <Override PartName="/word/header2.xml" ContentType="application/vnd.openxmlformats-officedocument.wordprocessingml.header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0="urn:schemas-microsoft-com:office:word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16="http://schemas.microsoft.com/office/word/2018/wordml" xmlns:c="http://schemas.openxmlformats.org/drawingml/2006/chart" mc:Ignorable="w14 w15 w16se w16cid w16 w16cex w16sdtdh wp14">
  <w:body>
    <w:tbl>
      <w:tblPr>
        <w:tblStyle w:val="TableGrid"/>
        <w:tblW w:w="1516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377"/>
        <w:gridCol w:w="8402"/>
        <w:gridCol w:w="2819"/>
        <w:gridCol w:w="565"/>
      </w:tblGrid>
      <w:tr>
        <w:trPr/>
        <w:tc>
          <w:tcPr>
            <w:tcW w:type="dxa" w:w="3377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APPROVED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by</w:t>
            </w:r>
          </w:p>
        </w:tc>
        <w:tc>
          <w:tcPr>
            <w:tcW w:type="dxa" w:w="8402"/>
            <w:tcBorders/>
          </w:tcPr>
          <w:p>
            <w:pPr>
              <w:spacing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819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PATVIRTINTA</w:t>
            </w:r>
          </w:p>
        </w:tc>
        <w:tc>
          <w:tcPr>
            <w:tcW w:type="dxa" w:w="565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>
        <w:trPr/>
        <w:tc>
          <w:tcPr>
            <w:tcW w:type="dxa" w:w="3377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LITGRID AB 20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20</w:t>
            </w:r>
          </w:p>
        </w:tc>
        <w:tc>
          <w:tcPr>
            <w:tcW w:type="dxa" w:w="8402"/>
            <w:tcBorders/>
          </w:tcPr>
          <w:p>
            <w:pPr>
              <w:spacing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819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LITGRID AB 20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20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m.</w:t>
            </w:r>
          </w:p>
        </w:tc>
        <w:tc>
          <w:tcPr>
            <w:tcW w:type="dxa" w:w="565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>
        <w:trPr/>
        <w:tc>
          <w:tcPr>
            <w:tcW w:type="dxa" w:w="3377"/>
            <w:tcBorders/>
          </w:tcPr>
          <w:p>
            <w:pPr>
              <w:spacing/>
              <w:ind w:right="-1"/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August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 26</w:t>
            </w:r>
          </w:p>
        </w:tc>
        <w:tc>
          <w:tcPr>
            <w:tcW w:type="dxa" w:w="8402"/>
            <w:tcBorders/>
          </w:tcPr>
          <w:p>
            <w:pPr>
              <w:spacing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819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Rugpjūčio 26 d. </w:t>
            </w:r>
          </w:p>
        </w:tc>
        <w:tc>
          <w:tcPr>
            <w:tcW w:type="dxa" w:w="565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>
        <w:trPr/>
        <w:tc>
          <w:tcPr>
            <w:tcW w:type="dxa" w:w="3377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Transmission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grid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department</w:t>
            </w:r>
          </w:p>
        </w:tc>
        <w:tc>
          <w:tcPr>
            <w:tcW w:type="dxa" w:w="8402"/>
            <w:tcBorders/>
          </w:tcPr>
          <w:p>
            <w:pPr>
              <w:spacing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3384"/>
            <w:gridSpan w:val="2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Perdavimo tinklo departamento</w:t>
            </w:r>
          </w:p>
        </w:tc>
      </w:tr>
      <w:tr>
        <w:trPr/>
        <w:tc>
          <w:tcPr>
            <w:tcW w:type="dxa" w:w="3377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director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direction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No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.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20NU-290</w:t>
            </w:r>
          </w:p>
        </w:tc>
        <w:tc>
          <w:tcPr>
            <w:tcW w:type="dxa" w:w="8402"/>
            <w:tcBorders/>
          </w:tcPr>
          <w:p>
            <w:pPr>
              <w:spacing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3384"/>
            <w:gridSpan w:val="2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direktoriaus nurodymu Nr.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20NU-290</w:t>
            </w:r>
          </w:p>
        </w:tc>
      </w:tr>
    </w:tbl>
    <w:p w14:paraId="0EFA2A6B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6DD2A517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  <w:r>
        <w:rPr>
          <w:rFonts w:ascii="Arial" w:hAnsi="Arial" w:cs="Arial"/>
          <w:b/>
          <w:sz w:val="18"/>
          <w:szCs w:val="18"/>
        </w:rPr>
        <w:t xml:space="preserve">STANDARTINIAI TECHNINIAI REIKALAVIMAI RELINĖS APSAUGOS IR AUTOMATIKOS VIDAUS SPINTOMS</w:t>
      </w:r>
    </w:p>
    <w:p w14:paraId="45144403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  <w:r>
        <w:rPr>
          <w:rFonts w:ascii="Arial" w:hAnsi="Arial" w:cs="Arial"/>
          <w:b/>
          <w:sz w:val="18"/>
          <w:szCs w:val="18"/>
          <w:lang w:val="en-US"/>
        </w:rPr>
        <w:t xml:space="preserve">STANDARD TECHNICAL REQUIREMENTS FOR RELAY PROTECTION AND AUTOMATION INDOOR CABINETS</w:t>
      </w:r>
    </w:p>
    <w:p w14:paraId="5692BA8E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</w:p>
    <w:p w14:paraId="37D79BC7">
      <w:pPr>
        <w:spacing/>
        <w:rPr>
          <w:sz w:val="18"/>
          <w:szCs w:val="18"/>
        </w:rPr>
      </w:pPr>
    </w:p>
    <w:tbl>
      <w:tblPr>
        <w:tblStyle w:val="TableGrid"/>
        <w:tblW w:w="1516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3546"/>
        <w:gridCol w:w="3687"/>
        <w:gridCol w:w="3687"/>
        <w:gridCol w:w="2406"/>
        <w:gridCol w:w="991"/>
      </w:tblGrid>
      <w:tr>
        <w:trPr>
          <w:cantSplit/>
          <w:tblHeader/>
        </w:trPr>
        <w:tc>
          <w:tcPr>
            <w:tcW w:type="dxa" w:w="846"/>
            <w:vMerge w:val="restart"/>
            <w:tcBorders/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Eil. Nr./</w:t>
            </w:r>
          </w:p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Seq. No.</w:t>
            </w:r>
          </w:p>
        </w:tc>
        <w:tc>
          <w:tcPr>
            <w:tcW w:type="dxa" w:w="3546"/>
            <w:vMerge w:val="restart"/>
            <w:tcBorders/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Įrenginio, įrangos, gaminio ar medžiagos reikalaujamas parametras, funkcija, išpildymas ar savybė/</w:t>
            </w:r>
          </w:p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product</w:t>
            </w: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implementation or feature</w:t>
            </w:r>
          </w:p>
        </w:tc>
        <w:tc>
          <w:tcPr>
            <w:tcW w:type="dxa" w:w="3687"/>
            <w:vMerge w:val="restart"/>
            <w:tcBorders/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Kiekis (mato vnt.), reikalaujama parametro (mato vnt.) ar funkcijos reikšmė, išpildymas ar savybė/</w:t>
            </w:r>
          </w:p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implementation</w:t>
            </w: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type="dxa" w:w="7084"/>
            <w:gridSpan w:val="3"/>
            <w:tcBorders/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Siūlomo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Eligibility confirmation of the proposed device, equipment, </w:t>
            </w: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product</w:t>
            </w: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</w:t>
            </w:r>
          </w:p>
        </w:tc>
      </w:tr>
      <w:tr>
        <w:trPr>
          <w:cantSplit/>
          <w:tblHeader/>
        </w:trPr>
        <w:tc>
          <w:tcPr>
            <w:tcW w:type="dxa" w:w="846"/>
            <w:vMerge w:val="continue"/>
            <w:tcBorders/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3546"/>
            <w:vMerge w:val="continue"/>
            <w:tcBorders/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3687"/>
            <w:vMerge w:val="continue"/>
            <w:tcBorders/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3687"/>
            <w:vMerge w:val="restart"/>
            <w:tcBorders/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(mato vnt.)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funkcijos reikšmė, išpildymas ar savybė/</w:t>
            </w:r>
          </w:p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 xml:space="preserve">Parameter</w:t>
            </w: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function, </w:t>
            </w: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implementation</w:t>
            </w: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 confirming the compliance</w:t>
            </w:r>
          </w:p>
        </w:tc>
        <w:tc>
          <w:tcPr>
            <w:tcW w:type="dxa" w:w="3397"/>
            <w:gridSpan w:val="2"/>
            <w:tcBorders/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 xml:space="preserve">Link to Supplier’s proposal documents</w:t>
            </w:r>
          </w:p>
        </w:tc>
      </w:tr>
      <w:tr>
        <w:trPr>
          <w:cantSplit/>
          <w:tblHeader/>
        </w:trPr>
        <w:tc>
          <w:tcPr>
            <w:tcW w:type="dxa" w:w="846"/>
            <w:vMerge w:val="continue"/>
            <w:tcBorders>
              <w:bottom w:val="single" w:color="auto" w:sz="4" w:space="0"/>
            </w:tcBorders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3546"/>
            <w:vMerge w:val="continue"/>
            <w:tcBorders>
              <w:bottom w:val="single" w:color="auto" w:sz="4" w:space="0"/>
            </w:tcBorders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3687"/>
            <w:vMerge w:val="continue"/>
            <w:tcBorders>
              <w:bottom w:val="single" w:color="auto" w:sz="4" w:space="0"/>
            </w:tcBorders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3687"/>
            <w:vMerge w:val="continue"/>
            <w:tcBorders>
              <w:bottom w:val="single" w:color="auto" w:sz="4" w:space="0"/>
            </w:tcBorders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>
              <w:bottom w:val="single" w:color="auto" w:sz="4" w:space="0"/>
            </w:tcBorders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 xml:space="preserve">Annex name or N</w:t>
            </w:r>
            <w:r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 xml:space="preserve">o</w:t>
            </w:r>
            <w:r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 xml:space="preserve">.</w:t>
            </w:r>
          </w:p>
        </w:tc>
        <w:tc>
          <w:tcPr>
            <w:tcW w:type="dxa" w:w="991"/>
            <w:tcBorders>
              <w:bottom w:val="single" w:color="auto" w:sz="4" w:space="0"/>
            </w:tcBorders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Psl. Nr./</w:t>
            </w:r>
          </w:p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Pg. No</w:t>
            </w:r>
          </w:p>
        </w:tc>
      </w:tr>
      <w:tr>
        <w:trPr>
          <w:cantSplit/>
        </w:trPr>
        <w:tc>
          <w:tcPr>
            <w:tcW w:type="dxa" w:w="846"/>
            <w:vMerge w:val="restart"/>
            <w:tcBorders/>
            <w:vAlign w:val="center"/>
          </w:tcPr>
          <w:p>
            <w:pPr>
              <w:pStyle w:val="ListParagraph"/>
              <w:numPr>
                <w:ilvl w:val="0"/>
                <w:numId w:val="11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vMerge w:val="restart"/>
            <w:tcBorders/>
            <w:vAlign w:val="center"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RAA vidaus spinta/ RPA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indoor cabinets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*</w:t>
            </w:r>
          </w:p>
        </w:tc>
        <w:tc>
          <w:tcPr>
            <w:tcW w:type="dxa" w:w="3687"/>
            <w:vMerge w:val="restart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... vnt./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units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Spintos(-ų) tipo žymėjimas pagal gamintojo katalogą/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Cabinet marking according to the manufacturer‘s catalog</w:t>
            </w:r>
          </w:p>
        </w:tc>
        <w:tc>
          <w:tcPr>
            <w:tcW w:type="dxa" w:w="3397"/>
            <w:gridSpan w:val="2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vMerge w:val="continue"/>
            <w:tcBorders/>
            <w:vAlign w:val="center"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type="dxa" w:w="3687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Gamintojas/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Manufacturer</w:t>
            </w:r>
          </w:p>
        </w:tc>
        <w:tc>
          <w:tcPr>
            <w:tcW w:type="dxa" w:w="3397"/>
            <w:gridSpan w:val="2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vMerge w:val="continue"/>
            <w:tcBorders/>
            <w:vAlign w:val="center"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type="dxa" w:w="3687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Pagaminimo šalis/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Country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of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production</w:t>
            </w:r>
          </w:p>
        </w:tc>
        <w:tc>
          <w:tcPr>
            <w:tcW w:type="dxa" w:w="3397"/>
            <w:gridSpan w:val="2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0"/>
                <w:numId w:val="11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4317"/>
            <w:gridSpan w:val="5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Standards:</w:t>
            </w: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1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Spintos gamintojo kokybės vadybos sistema turi būti įvertinta sertifikatu/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The cabinet’s manufacturer's quality management system shall be evaluated by certificate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LST EN ISO 9001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 xml:space="preserve">b)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1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Spintos gamintojo aplinkos vadybos sistema turi būti įvertinta sertifikatu/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The cabinet’s manufacturer‘s environmental management system shall be evaluated by certificate</w:t>
            </w:r>
          </w:p>
        </w:tc>
        <w:tc>
          <w:tcPr>
            <w:tcW w:type="dxa" w:w="3687"/>
            <w:tcBorders/>
            <w:vAlign w:val="center"/>
          </w:tcPr>
          <w:p>
            <w:pPr>
              <w:pStyle w:val="Default"/>
              <w: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LST EN ISO 14001 </w:t>
            </w:r>
            <w:r>
              <w:rPr>
                <w:rFonts w:ascii="Arial" w:hAnsi="Arial" w:cs="Arial"/>
                <w:color w:val="auto"/>
                <w:sz w:val="18"/>
                <w:szCs w:val="18"/>
                <w:vertAlign w:val="superscript"/>
                <w:lang w:val="en-US"/>
              </w:rPr>
              <w:t xml:space="preserve">b)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1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Spintos korpuso apsaugos laipsnis pagal (IP kodas)/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Cabinet’s body protection degree (IP class) shall be according to</w:t>
            </w:r>
          </w:p>
        </w:tc>
        <w:tc>
          <w:tcPr>
            <w:tcW w:type="dxa" w:w="3687"/>
            <w:tcBorders/>
            <w:vAlign w:val="center"/>
          </w:tcPr>
          <w:p>
            <w:pPr>
              <w:pStyle w:val="Default"/>
              <w: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LST EN </w:t>
            </w:r>
            <w:r>
              <w:rPr>
                <w:rFonts w:ascii="Arial" w:hAnsi="Arial" w:cs="Arial"/>
                <w:sz w:val="18"/>
                <w:szCs w:val="18"/>
              </w:rPr>
              <w:t xml:space="preserve">60529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0"/>
                <w:numId w:val="11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4317"/>
            <w:gridSpan w:val="5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 xml:space="preserve">Ambient conditions:</w:t>
            </w: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1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1)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Operating conditions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1)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Patalpoje 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Indoor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1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Maksimali leistina ilgalaikė spintos eksploatavimo temperatūra ne žemesnė kaip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1)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Highest allowable operating ambient temperature of the cabinet shall be no less than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1)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+35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1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Minimali eksploatavimo aplinkos temperatūra turi būti ne aukštesnė kaip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1)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/ Lowest operating ambient temperature shall be not higher than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1)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+5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0"/>
                <w:numId w:val="11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4317"/>
            <w:gridSpan w:val="5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Pagrindinės charakteristikos ir konstrukcija/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 xml:space="preserve">Main characteristics and construction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:</w:t>
            </w: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1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Spintos korpuso konstrukcijos tipiniai išmatavimai aukštis; plotis; gylis/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Cabinet housing (enclosure) construction typical dimensions height; width; depth, mm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2000; 800; 800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1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Apsaugos laipsnis pagal IEC 60529 turi būti ne žemesnis nei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1)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Protection level according to IEC 60529 shall not be less than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1)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IP22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1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Spintos korpuso išorinių metalinių dalių paviršiai turi būti 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Cabinets external surfaces of the metal parts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shall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 be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Dažyti milteliniais dažais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a)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, RAL7035 spalva/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Painted with powder coated, RAL7035 color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1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Spintos vidaus konstrukcijų metalinių dalių </w:t>
            </w:r>
            <w:r>
              <w:rPr>
                <w:rFonts w:ascii="Arial" w:hAnsi="Arial" w:cs="Arial"/>
                <w:sz w:val="18"/>
                <w:szCs w:val="18"/>
              </w:rPr>
              <w:t xml:space="preserve">paviršiai, išskyrus dalis pagamintas iš korozijai atsparių metalų lydinių, turi būti/ </w:t>
            </w:r>
            <w:r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 xml:space="preserve">Cabinet internal surfaces of metal parts,</w:t>
            </w:r>
            <w:r>
              <w:rPr>
                <w:rFonts w:ascii="Arial" w:hAnsi="Arial" w:cs="Arial"/>
                <w:sz w:val="18"/>
                <w:szCs w:val="18"/>
                <w:lang w:val="en"/>
              </w:rPr>
              <w:t xml:space="preserve"> except parts made from corrosion resistant metal alloys,</w:t>
            </w:r>
            <w:r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shall</w:t>
            </w:r>
            <w:r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 xml:space="preserve"> be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Cinkuoti arba dažyti RAL7035 spalva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Galvanized or painted RAL7035 color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1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Visos spintos komplektuojamos dalys turi būti/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All cabinet parts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shall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be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supplied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To paties gamintojo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By the same manufacturer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0"/>
                <w:numId w:val="11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4317"/>
            <w:gridSpan w:val="5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Spintos cokolis/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 xml:space="preserve">Cabinet plinth</w:t>
            </w: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1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Cokolio tipinis aukštis/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Plinth typical height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, mm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100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1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Cokolio tvirtinimas prie grindų ir spintos rėmo/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Plinth</w:t>
            </w:r>
            <w:r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mounting to</w:t>
            </w:r>
            <w:r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the floor</w:t>
            </w:r>
            <w:r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and</w:t>
            </w:r>
            <w:r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cabinet</w:t>
            </w:r>
            <w:r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frame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Varžtais, ne mažiau kaip 4 taškuose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By screws to at least four points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1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Cokolio šoniniai, priekinis ir galinis skydai be aušinimo angų turi būti  pagaminti 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Plinth side, front and rear panels without cooling holes, made of from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Iš metalo lakšto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a)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Metal sheet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0"/>
                <w:numId w:val="11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4317"/>
            <w:gridSpan w:val="5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Spintos šoniniai, galinis ir viršutinis skydai/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 xml:space="preserve">Cabinet side, front and rear panels</w:t>
            </w: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1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Be aušinimo angų, pagaminti 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Without cooling holes, made from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Iš metalo lakšto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a)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Metal sheet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1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Skydai prie spintos rėmo tvirtinami jų kampuose ir vidurio kraštuose/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Panels by the cabinet frame fixed in their corners and middle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edges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Varžtais, ne mažiau kaip 6 taškuose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By screws to at least six points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1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Kiekvieno skydo konstrukcijoje jo įžeminimui turi būti numatyta/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In each panel construction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for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it‘s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earthing</w:t>
            </w:r>
            <w:r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Įžeminimo laidininko prijungimo vieta pažymėta ženklu 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>
                  <wp:extent cx="129540" cy="155575"/>
                  <wp:effectExtent xmlns:wp="http://schemas.openxmlformats.org/drawingml/2006/wordprocessingDrawing" l="0" t="0" r="0" b="0"/>
                  <wp:docPr id="1" descr="untitled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155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The ground wire connection location is marked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>
                  <wp:extent cx="129540" cy="155575"/>
                  <wp:effectExtent xmlns:wp="http://schemas.openxmlformats.org/drawingml/2006/wordprocessingDrawing" l="0" t="0" r="0" b="0"/>
                  <wp:docPr id="2" descr="untitled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155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0"/>
                <w:numId w:val="11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4317"/>
            <w:gridSpan w:val="5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Spintos priekinės durys/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 xml:space="preserve">Cabinet front door</w:t>
            </w:r>
          </w:p>
        </w:tc>
      </w:tr>
      <w:tr>
        <w:trPr>
          <w:cantSplit/>
        </w:trPr>
        <w:tc>
          <w:tcPr>
            <w:tcW w:type="dxa" w:w="846"/>
            <w:vMerge w:val="restart"/>
            <w:tcBorders/>
            <w:vAlign w:val="center"/>
          </w:tcPr>
          <w:p>
            <w:pPr>
              <w:pStyle w:val="ListParagraph"/>
              <w:numPr>
                <w:ilvl w:val="1"/>
                <w:numId w:val="11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vMerge w:val="restart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Durų konstrukciją turi sudaryti 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Door construction must contain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Metalo lakštas su sustiprinto metalinio profilio rėmu / 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vMerge w:val="continue"/>
            <w:tcBorders/>
            <w:vAlign w:val="center"/>
          </w:tcPr>
          <w:p>
            <w:pPr>
              <w:pStyle w:val="ListParagraph"/>
              <w:numPr>
                <w:ilvl w:val="1"/>
                <w:numId w:val="11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vMerge w:val="continue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Vientisas skaidrus stiklas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1)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/ W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hole tempered or organic clear glass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1)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1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Durų atidarymo kampas ne mažesnis kaip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1)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Door opening angle no less than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1)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°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120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1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Duryse jų atidarymui turi būti įmontuota/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For the door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opening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and locking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shall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be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installed 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Rankena su ranka fiksuojamu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berakčiu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uždaros padėties mechanizmu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Handle with hand-locked closed positioning mechanism</w:t>
            </w:r>
          </w:p>
          <w:p>
            <w:pPr>
              <w:spacing/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1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Atidarymo kryptis/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Opening</w:t>
            </w:r>
            <w:r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direction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Dešinė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Right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1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Durų fiksavimas užraktu turi būti ne mažiau/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Door fixing with lock must be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no less than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 taškuose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At 3 points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0"/>
                <w:numId w:val="11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4317"/>
            <w:gridSpan w:val="5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Pasukamas 19“ rėmas įrangos montavimui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 xml:space="preserve">/ Revolving 19 " frame for the equipment mounting</w:t>
            </w: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1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Pasukamas rėmas turi atlaikyti montuojamos įrangos apkrovą ne mažesnio svorio kaip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1)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Revolving frame must sustain the load of mounting equipment no less weight than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1)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, kg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125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1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Montuojamos įrangos gylis ne mažesnis kaip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1)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Depth of the mounting equipment no less than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1)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mm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440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vMerge w:val="restart"/>
            <w:tcBorders/>
            <w:vAlign w:val="center"/>
          </w:tcPr>
          <w:p>
            <w:pPr>
              <w:pStyle w:val="ListParagraph"/>
              <w:numPr>
                <w:ilvl w:val="1"/>
                <w:numId w:val="11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vMerge w:val="restart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Pasukamo rėmo padėties fiksatoriai/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Revolving frame position locks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uždaros padėties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Closed position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vMerge w:val="continue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atviros padėties, tvirtinamas spintos viršuje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Open position, fixed on the top of cabinet.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1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Atidarymo kampas ne mažesnis kaip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1)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Opening angle not less than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1)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°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110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1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Atidarymo kryptis/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Opening direction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Kairė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Left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1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Rėmo konstrukcijoje įrangos montavimui turi būti tvirtinimo taškai ne mažiau kaip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1)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/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Equipment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attachment points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in frame construction must be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no less than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1)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36 montažiniams vienetams (U)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For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36</w:t>
            </w:r>
            <w:r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Mounting (Rack)</w:t>
            </w:r>
            <w:r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units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1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Nenaudojama rėmo vieta turi būti dengiama/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Unused</w:t>
            </w:r>
            <w:r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frame</w:t>
            </w:r>
            <w:r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area must be</w:t>
            </w:r>
            <w:r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covered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19“ metalinių plokščių segmentais tvirtinant varžtais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/ B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y 19“ metal plate</w:t>
            </w:r>
            <w:r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segments,</w:t>
            </w:r>
            <w:r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fastening by screws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0"/>
                <w:numId w:val="11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4317"/>
            <w:gridSpan w:val="5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Spintos montažinė plokštė/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 xml:space="preserve">Cabinet mounting plate</w:t>
            </w: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1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Turi būti pagaminta iš vientiso metalo lakšto kurio storis turi būti/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It must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be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made of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whole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sheet of metal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with a thickness,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mm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 ÷ 4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1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Montažinės plokštės išmatavimai aukštis; plotis turi būti ne mažesni kaip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1)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Mounting plate dimensions height; width must be no less than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1)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mm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1750; 650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1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Montažinė plokštė prie pagrindinio rėmo tvirtinama/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Mounting plate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attached</w:t>
            </w:r>
            <w:r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to the main</w:t>
            </w:r>
            <w:r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frame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Varžtais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/ By screws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 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0"/>
                <w:numId w:val="11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4317"/>
            <w:gridSpan w:val="5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Kabelių įvedimo anga spintos apačioje turi būti dengiama/ </w:t>
            </w:r>
            <w:r>
              <w:rPr>
                <w:rStyle w:val="hps"/>
                <w:rFonts w:ascii="Arial" w:hAnsi="Arial" w:cs="Arial"/>
                <w:b/>
                <w:sz w:val="18"/>
                <w:szCs w:val="18"/>
                <w:lang w:val="en"/>
              </w:rPr>
              <w:t xml:space="preserve">Cable</w:t>
            </w:r>
            <w:r>
              <w:rPr>
                <w:rFonts w:ascii="Arial" w:hAnsi="Arial" w:cs="Arial"/>
                <w:b/>
                <w:sz w:val="18"/>
                <w:szCs w:val="18"/>
                <w:lang w:val="en"/>
              </w:rPr>
              <w:t xml:space="preserve"> entry </w:t>
            </w:r>
            <w:r>
              <w:rPr>
                <w:rStyle w:val="hps"/>
                <w:rFonts w:ascii="Arial" w:hAnsi="Arial" w:cs="Arial"/>
                <w:b/>
                <w:sz w:val="18"/>
                <w:szCs w:val="18"/>
                <w:lang w:val="en"/>
              </w:rPr>
              <w:t xml:space="preserve">hole</w:t>
            </w:r>
            <w:r>
              <w:rPr>
                <w:rFonts w:ascii="Arial" w:hAnsi="Arial" w:cs="Arial"/>
                <w:b/>
                <w:sz w:val="18"/>
                <w:szCs w:val="18"/>
                <w:lang w:val="en"/>
              </w:rPr>
              <w:t xml:space="preserve"> </w:t>
            </w:r>
            <w:r>
              <w:rPr>
                <w:rStyle w:val="hps"/>
                <w:rFonts w:ascii="Arial" w:hAnsi="Arial" w:cs="Arial"/>
                <w:b/>
                <w:sz w:val="18"/>
                <w:szCs w:val="18"/>
                <w:lang w:val="en"/>
              </w:rPr>
              <w:t xml:space="preserve">at the bottom of</w:t>
            </w:r>
            <w:r>
              <w:rPr>
                <w:rFonts w:ascii="Arial" w:hAnsi="Arial" w:cs="Arial"/>
                <w:b/>
                <w:sz w:val="18"/>
                <w:szCs w:val="18"/>
                <w:lang w:val="en"/>
              </w:rPr>
              <w:t xml:space="preserve"> </w:t>
            </w:r>
            <w:r>
              <w:rPr>
                <w:rStyle w:val="hps"/>
                <w:rFonts w:ascii="Arial" w:hAnsi="Arial" w:cs="Arial"/>
                <w:b/>
                <w:sz w:val="18"/>
                <w:szCs w:val="18"/>
                <w:lang w:val="en"/>
              </w:rPr>
              <w:t xml:space="preserve">the cabinet</w:t>
            </w:r>
            <w:r>
              <w:rPr>
                <w:rFonts w:ascii="Arial" w:hAnsi="Arial" w:cs="Arial"/>
                <w:b/>
                <w:sz w:val="18"/>
                <w:szCs w:val="18"/>
                <w:lang w:val="en"/>
              </w:rPr>
              <w:t xml:space="preserve"> </w:t>
            </w:r>
            <w:r>
              <w:rPr>
                <w:rStyle w:val="hps"/>
                <w:rFonts w:ascii="Arial" w:hAnsi="Arial" w:cs="Arial"/>
                <w:b/>
                <w:sz w:val="18"/>
                <w:szCs w:val="18"/>
                <w:lang w:val="en"/>
              </w:rPr>
              <w:t xml:space="preserve">must</w:t>
            </w:r>
            <w:r>
              <w:rPr>
                <w:rFonts w:ascii="Arial" w:hAnsi="Arial" w:cs="Arial"/>
                <w:b/>
                <w:sz w:val="18"/>
                <w:szCs w:val="18"/>
                <w:lang w:val="en"/>
              </w:rPr>
              <w:t xml:space="preserve"> </w:t>
            </w:r>
            <w:r>
              <w:rPr>
                <w:rStyle w:val="hps"/>
                <w:rFonts w:ascii="Arial" w:hAnsi="Arial" w:cs="Arial"/>
                <w:b/>
                <w:sz w:val="18"/>
                <w:szCs w:val="18"/>
                <w:lang w:val="en"/>
              </w:rPr>
              <w:t xml:space="preserve">be</w:t>
            </w:r>
            <w:r>
              <w:rPr>
                <w:rFonts w:ascii="Arial" w:hAnsi="Arial" w:cs="Arial"/>
                <w:b/>
                <w:sz w:val="18"/>
                <w:szCs w:val="18"/>
                <w:lang w:val="en"/>
              </w:rPr>
              <w:t xml:space="preserve"> </w:t>
            </w:r>
            <w:r>
              <w:rPr>
                <w:rStyle w:val="hps"/>
                <w:rFonts w:ascii="Arial" w:hAnsi="Arial" w:cs="Arial"/>
                <w:b/>
                <w:sz w:val="18"/>
                <w:szCs w:val="18"/>
                <w:lang w:val="en"/>
              </w:rPr>
              <w:t xml:space="preserve">covered by</w:t>
            </w: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1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Nenaudojama vieta/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Not used location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Varžtais tvirtinamais metalinių plokščių segmentais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 xml:space="preserve">)</w:t>
            </w:r>
            <w:r>
              <w:rPr>
                <w:rFonts w:ascii="Arial" w:hAnsi="Arial" w:cs="Arial"/>
                <w:sz w:val="18"/>
                <w:szCs w:val="18"/>
              </w:rPr>
              <w:t xml:space="preserve">/ </w:t>
            </w:r>
            <w:r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 xml:space="preserve">By metal plate</w:t>
            </w:r>
            <w:r>
              <w:rPr>
                <w:rStyle w:val="shorttext"/>
                <w:rFonts w:ascii="Arial" w:hAnsi="Arial" w:cs="Arial"/>
                <w:sz w:val="18"/>
                <w:szCs w:val="18"/>
                <w:lang w:val="en"/>
              </w:rPr>
              <w:t xml:space="preserve"> </w:t>
            </w:r>
            <w:r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 xml:space="preserve">segments,</w:t>
            </w:r>
            <w:r>
              <w:rPr>
                <w:rStyle w:val="shorttext"/>
                <w:rFonts w:ascii="Arial" w:hAnsi="Arial" w:cs="Arial"/>
                <w:sz w:val="18"/>
                <w:szCs w:val="18"/>
                <w:lang w:val="en"/>
              </w:rPr>
              <w:t xml:space="preserve"> </w:t>
            </w:r>
            <w:r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 xml:space="preserve">fastening by screws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 xml:space="preserve">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1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Kabelių įvedimo vietoje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/ Locations with cable entry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Varžtais tvirtinamais metalinių plokščių segmentais su sandarinamomis kabelių įvedimo vietomis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 xml:space="preserve">)</w:t>
            </w:r>
            <w:r>
              <w:rPr>
                <w:rFonts w:ascii="Arial" w:hAnsi="Arial" w:cs="Arial"/>
                <w:sz w:val="18"/>
                <w:szCs w:val="18"/>
              </w:rPr>
              <w:t xml:space="preserve">/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Metal plate segments with cable entry places sealing, fastening by screws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 xml:space="preserve">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3E2EB108">
      <w:pPr>
        <w:spacing/>
        <w:rPr>
          <w:sz w:val="18"/>
          <w:szCs w:val="18"/>
        </w:rPr>
      </w:pPr>
    </w:p>
    <w:p w14:paraId="53E319D3">
      <w:pPr>
        <w:spacing/>
        <w:rPr>
          <w:sz w:val="18"/>
          <w:szCs w:val="18"/>
        </w:rPr>
      </w:pPr>
    </w:p>
    <w:p w14:paraId="5C5C88D9">
      <w:pPr>
        <w:spacing/>
        <w:jc w:val="center"/>
        <w:rPr>
          <w:sz w:val="18"/>
          <w:szCs w:val="18"/>
        </w:rPr>
      </w:pPr>
    </w:p>
    <w:tbl>
      <w:tblPr>
        <w:tblStyle w:val="TableGrid"/>
        <w:tblW w:w="1516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4111"/>
        <w:gridCol w:w="6378"/>
        <w:gridCol w:w="3828"/>
      </w:tblGrid>
      <w:tr>
        <w:trPr>
          <w:cantSplit/>
          <w:trHeight w:val="209" w:hRule="atLeast"/>
          <w:tblHeader/>
        </w:trPr>
        <w:tc>
          <w:tcPr>
            <w:tcW w:type="dxa" w:w="846"/>
            <w:vMerge w:val="restart"/>
            <w:tcBorders/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Eil. Nr./</w:t>
            </w:r>
          </w:p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Seq. No.</w:t>
            </w:r>
          </w:p>
        </w:tc>
        <w:tc>
          <w:tcPr>
            <w:tcW w:type="dxa" w:w="10489"/>
            <w:gridSpan w:val="2"/>
            <w:vMerge w:val="restart"/>
            <w:tcBorders/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Įrenginio, įrangos, gaminio ar medžiagos reikalaujamas parametras, funkcija, išpildymas ar savybė/</w:t>
            </w:r>
          </w:p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product</w:t>
            </w: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implementation or feature</w:t>
            </w:r>
          </w:p>
        </w:tc>
        <w:tc>
          <w:tcPr>
            <w:tcW w:type="dxa" w:w="3828"/>
            <w:vMerge w:val="restart"/>
            <w:tcBorders/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Kiekis (mato vnt.), reikalaujama parametro (mato vnt.) ar funkcijos reikšmė, išpildymas ar savybė/</w:t>
            </w:r>
          </w:p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implementation</w:t>
            </w: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</w:tr>
      <w:tr>
        <w:trPr>
          <w:cantSplit/>
          <w:trHeight w:val="209" w:hRule="atLeast"/>
          <w:tblHeader/>
        </w:trPr>
        <w:tc>
          <w:tcPr>
            <w:tcW w:type="dxa" w:w="846"/>
            <w:vMerge w:val="continue"/>
            <w:tcBorders/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10489"/>
            <w:gridSpan w:val="2"/>
            <w:vMerge w:val="continue"/>
            <w:tcBorders/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3828"/>
            <w:vMerge w:val="continue"/>
            <w:tcBorders/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  <w:trHeight w:val="209" w:hRule="atLeast"/>
          <w:tblHeader/>
        </w:trPr>
        <w:tc>
          <w:tcPr>
            <w:tcW w:type="dxa" w:w="846"/>
            <w:vMerge w:val="continue"/>
            <w:tcBorders>
              <w:bottom w:val="single" w:color="auto" w:sz="4" w:space="0"/>
            </w:tcBorders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10489"/>
            <w:gridSpan w:val="2"/>
            <w:vMerge w:val="continue"/>
            <w:tcBorders>
              <w:bottom w:val="single" w:color="auto" w:sz="4" w:space="0"/>
            </w:tcBorders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3828"/>
            <w:vMerge w:val="continue"/>
            <w:tcBorders>
              <w:bottom w:val="single" w:color="auto" w:sz="4" w:space="0"/>
            </w:tcBorders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  <w:trHeight w:val="209" w:hRule="atLeast"/>
        </w:trPr>
        <w:tc>
          <w:tcPr>
            <w:tcW w:type="dxa" w:w="846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0489"/>
            <w:gridSpan w:val="2"/>
            <w:vMerge w:val="continue"/>
            <w:tcBorders/>
            <w:vAlign w:val="center"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type="dxa" w:w="3828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rPr>
          <w:cantSplit/>
          <w:trHeight w:val="209" w:hRule="atLeast"/>
        </w:trPr>
        <w:tc>
          <w:tcPr>
            <w:tcW w:type="dxa" w:w="846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0489"/>
            <w:gridSpan w:val="2"/>
            <w:vMerge w:val="continue"/>
            <w:tcBorders/>
            <w:vAlign w:val="center"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type="dxa" w:w="3828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rPr>
          <w:cantSplit/>
          <w:trHeight w:val="209" w:hRule="atLeast"/>
        </w:trPr>
        <w:tc>
          <w:tcPr>
            <w:tcW w:type="dxa" w:w="846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0489"/>
            <w:gridSpan w:val="2"/>
            <w:vMerge w:val="continue"/>
            <w:tcBorders/>
            <w:vAlign w:val="center"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type="dxa" w:w="3828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0"/>
                <w:numId w:val="11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4317"/>
            <w:gridSpan w:val="3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Spintos viduje montuojamos papildomos įrangos komplektacija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 xml:space="preserve">2)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/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Set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of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additional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equipment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mounted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in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the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cabinet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 xml:space="preserve">2)</w:t>
            </w: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1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4317"/>
            <w:gridSpan w:val="3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Įžeminimo šyna įžeminimo laidininkų prijungimui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2)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Earthing busbar for earthing conductors connection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2)</w:t>
            </w: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2"/>
                <w:numId w:val="11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0489"/>
            <w:gridSpan w:val="2"/>
            <w:tcBorders/>
            <w:vAlign w:val="center"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Įžeminimo šyna turi būti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2)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Earthing busbar must be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2)</w:t>
            </w:r>
          </w:p>
        </w:tc>
        <w:tc>
          <w:tcPr>
            <w:tcW w:type="dxa" w:w="3828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Varinė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Copper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2"/>
                <w:numId w:val="11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0489"/>
            <w:gridSpan w:val="2"/>
            <w:tcBorders/>
            <w:vAlign w:val="center"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Įžeminimo šynos išmatavimai ilgis; aukštis; storis turi būti ne mažesni kaip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2)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Earthing busbar dimensions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lenght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height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thickness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must be no less than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2)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mm</w:t>
            </w:r>
          </w:p>
        </w:tc>
        <w:tc>
          <w:tcPr>
            <w:tcW w:type="dxa" w:w="3828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450; 15; 4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2"/>
                <w:numId w:val="11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0489"/>
            <w:gridSpan w:val="2"/>
            <w:tcBorders/>
            <w:vAlign w:val="center"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Įžeminimo šyna turi būti montuojama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2)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Earthing busbar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must</w:t>
            </w:r>
            <w:r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be</w:t>
            </w:r>
            <w:r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installed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2)</w:t>
            </w:r>
          </w:p>
        </w:tc>
        <w:tc>
          <w:tcPr>
            <w:tcW w:type="dxa" w:w="3828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Montažinės plokštės apačioje, horizontaliai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At the bottom of the cabinet, horizontally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2"/>
                <w:numId w:val="11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0489"/>
            <w:gridSpan w:val="2"/>
            <w:tcBorders/>
            <w:vAlign w:val="center"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Įžeminimo šynoje, kabelių ekranų ir spintos dalių įžeminimo laidininkų prijungimui turi būti ne mažiau kaip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2)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For cables shielding and cabinet earthing conductors connection to the Ground busbar shall not be less than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2)</w:t>
            </w:r>
          </w:p>
        </w:tc>
        <w:tc>
          <w:tcPr>
            <w:tcW w:type="dxa" w:w="3828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20 prijungimo vietų ne mažesniais kaip M5 dydžio varžtais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/ 20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connection points with M5 screws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2"/>
                <w:numId w:val="11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0489"/>
            <w:gridSpan w:val="2"/>
            <w:tcBorders/>
            <w:vAlign w:val="center"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Įžeminimo šynoje išlyginamojo ir pastotės įžeminimo kontūro prijungimui turi būti ne mažiau kaip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2)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/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For potential equalization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and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substation earth network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conductors connection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to the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Ground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busbar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shall not be less than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2)</w:t>
            </w:r>
          </w:p>
        </w:tc>
        <w:tc>
          <w:tcPr>
            <w:tcW w:type="dxa" w:w="3828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 prijungimo vietos, ne mažesnės nei 25 mm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2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/ 2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connection points,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not less than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25 mm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2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1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4317"/>
            <w:gridSpan w:val="3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Spintos vidinis apšvietimas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2)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/ Cabinet internal lighting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2)</w:t>
            </w:r>
          </w:p>
        </w:tc>
      </w:tr>
      <w:tr>
        <w:trPr>
          <w:cantSplit/>
        </w:trPr>
        <w:tc>
          <w:tcPr>
            <w:tcW w:type="dxa" w:w="846"/>
            <w:vMerge w:val="restart"/>
            <w:tcBorders/>
            <w:vAlign w:val="center"/>
          </w:tcPr>
          <w:p>
            <w:pPr>
              <w:pStyle w:val="ListParagraph"/>
              <w:numPr>
                <w:ilvl w:val="2"/>
                <w:numId w:val="11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4111"/>
            <w:vMerge w:val="restart"/>
            <w:tcBorders/>
            <w:vAlign w:val="center"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Spintoje montuojamo šviestuvo charakteristikos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2)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/ Specifications of cabinet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lighting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lamp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2)</w:t>
            </w:r>
          </w:p>
        </w:tc>
        <w:tc>
          <w:tcPr>
            <w:tcW w:type="dxa" w:w="6378"/>
            <w:tcBorders/>
            <w:vAlign w:val="center"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Šviestuvo galia/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Lighting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l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amp power,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W</w:t>
            </w:r>
          </w:p>
        </w:tc>
        <w:tc>
          <w:tcPr>
            <w:tcW w:type="dxa" w:w="3828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5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÷ 15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</w:tr>
      <w:tr>
        <w:trPr>
          <w:cantSplit/>
        </w:trPr>
        <w:tc>
          <w:tcPr>
            <w:tcW w:type="dxa" w:w="846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4111"/>
            <w:vMerge w:val="continue"/>
            <w:tcBorders/>
            <w:vAlign w:val="center"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type="dxa" w:w="6378"/>
            <w:tcBorders/>
            <w:vAlign w:val="center"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Vardinė maitinimo įtampa/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Power supply, VAC</w:t>
            </w:r>
          </w:p>
        </w:tc>
        <w:tc>
          <w:tcPr>
            <w:tcW w:type="dxa" w:w="3828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230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a)</w:t>
            </w:r>
          </w:p>
        </w:tc>
      </w:tr>
      <w:tr>
        <w:trPr>
          <w:cantSplit/>
        </w:trPr>
        <w:tc>
          <w:tcPr>
            <w:tcW w:type="dxa" w:w="846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4111"/>
            <w:vMerge w:val="continue"/>
            <w:tcBorders/>
            <w:vAlign w:val="center"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type="dxa" w:w="6378"/>
            <w:tcBorders/>
            <w:vAlign w:val="center"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Šviestuvo tipas/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Lighting lamp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type</w:t>
            </w:r>
          </w:p>
        </w:tc>
        <w:tc>
          <w:tcPr>
            <w:tcW w:type="dxa" w:w="3828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LED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</w:tr>
      <w:tr>
        <w:trPr>
          <w:cantSplit/>
        </w:trPr>
        <w:tc>
          <w:tcPr>
            <w:tcW w:type="dxa" w:w="846"/>
            <w:vMerge w:val="restart"/>
            <w:tcBorders/>
            <w:vAlign w:val="center"/>
          </w:tcPr>
          <w:p>
            <w:pPr>
              <w:pStyle w:val="ListParagraph"/>
              <w:numPr>
                <w:ilvl w:val="2"/>
                <w:numId w:val="11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0489"/>
            <w:gridSpan w:val="2"/>
            <w:vMerge w:val="restart"/>
            <w:tcBorders/>
            <w:vAlign w:val="center"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Šviestuvas įjungiamas/išjungiamas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2)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Lighting lamp on/off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2)</w:t>
            </w:r>
          </w:p>
        </w:tc>
        <w:tc>
          <w:tcPr>
            <w:tcW w:type="dxa" w:w="3828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Kai atidaromas/ uždaromas pasukamas 19“ rėmas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When opening/closing the</w:t>
            </w:r>
            <w:r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revolving</w:t>
            </w:r>
            <w:r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19 "</w:t>
            </w:r>
            <w:r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frame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</w:tr>
      <w:tr>
        <w:trPr>
          <w:cantSplit/>
        </w:trPr>
        <w:tc>
          <w:tcPr>
            <w:tcW w:type="dxa" w:w="846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0489"/>
            <w:gridSpan w:val="2"/>
            <w:vMerge w:val="continue"/>
            <w:tcBorders/>
            <w:vAlign w:val="center"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type="dxa" w:w="3828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Įjungimo/išjungimo jungikliu ranka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On/off switch by</w:t>
            </w:r>
            <w:r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hand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1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0489"/>
            <w:gridSpan w:val="2"/>
            <w:tcBorders/>
            <w:vAlign w:val="center"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Kištukinis lizdas (230 VAC), maitinamas per 30 mA nuotėkio srovės automatinį jungiklį su B16A apsaugos charakteristika, vnt. </w:t>
            </w:r>
            <w:r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2)</w:t>
            </w:r>
            <w:r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Socket (230 VAC) unit, powered by a 30 mA residual current circuit breaker with B16A protection characteristic, pcs. </w:t>
            </w:r>
            <w:r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2)</w:t>
            </w:r>
          </w:p>
        </w:tc>
        <w:tc>
          <w:tcPr>
            <w:tcW w:type="dxa" w:w="3828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2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</w:tr>
      <w:tr>
        <w:trPr>
          <w:cantSplit/>
        </w:trPr>
        <w:tc>
          <w:tcPr>
            <w:tcW w:type="dxa" w:w="846"/>
            <w:vMerge w:val="restart"/>
            <w:tcBorders/>
            <w:vAlign w:val="center"/>
          </w:tcPr>
          <w:p>
            <w:pPr>
              <w:pStyle w:val="ListParagraph"/>
              <w:numPr>
                <w:ilvl w:val="1"/>
                <w:numId w:val="11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4111"/>
            <w:vMerge w:val="restart"/>
            <w:tcBorders/>
            <w:vAlign w:val="center"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Automatiniai jungikliai, naudojami operatyviniuose perjungimuose </w:t>
            </w:r>
            <w:r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2)</w:t>
            </w:r>
            <w:r>
              <w:rPr>
                <w:rFonts w:ascii="Arial" w:hAnsi="Arial" w:cs="Arial"/>
                <w:sz w:val="18"/>
                <w:szCs w:val="18"/>
              </w:rPr>
              <w:t xml:space="preserve">/ </w:t>
            </w:r>
            <w:r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Circuit breakers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used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for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operational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switching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2)</w:t>
            </w:r>
          </w:p>
        </w:tc>
        <w:tc>
          <w:tcPr>
            <w:tcW w:type="dxa" w:w="6378"/>
            <w:tcBorders/>
            <w:vAlign w:val="center"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Montavimo vieta/</w:t>
            </w:r>
            <w:r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Installation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location</w:t>
            </w:r>
          </w:p>
        </w:tc>
        <w:tc>
          <w:tcPr>
            <w:tcW w:type="dxa" w:w="3828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Ant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pasukamo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19 "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rėmo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/ On the evolving 19 " frame</w:t>
            </w:r>
          </w:p>
        </w:tc>
      </w:tr>
      <w:tr>
        <w:trPr>
          <w:cantSplit/>
        </w:trPr>
        <w:tc>
          <w:tcPr>
            <w:tcW w:type="dxa" w:w="846"/>
            <w:vMerge w:val="continue"/>
            <w:tcBorders/>
            <w:vAlign w:val="center"/>
          </w:tcPr>
          <w:p>
            <w:pPr>
              <w:pStyle w:val="ListParagraph"/>
              <w:numPr>
                <w:ilvl w:val="1"/>
                <w:numId w:val="11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4111"/>
            <w:vMerge w:val="continue"/>
            <w:tcBorders/>
            <w:vAlign w:val="center"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type="dxa" w:w="6378"/>
            <w:tcBorders/>
            <w:vAlign w:val="center"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Minimalus atstumas nuo grindų, m/ </w:t>
            </w:r>
            <w:r>
              <w:rPr>
                <w:rFonts w:ascii="Arial" w:hAnsi="Arial" w:cs="Arial"/>
                <w:sz w:val="18"/>
                <w:szCs w:val="18"/>
              </w:rPr>
              <w:t xml:space="preserve">minimum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distance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from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the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floor</w:t>
            </w:r>
            <w:r>
              <w:rPr>
                <w:rFonts w:ascii="Arial" w:hAnsi="Arial" w:cs="Arial"/>
                <w:sz w:val="18"/>
                <w:szCs w:val="18"/>
              </w:rPr>
              <w:t xml:space="preserve">, m</w:t>
            </w:r>
          </w:p>
        </w:tc>
        <w:tc>
          <w:tcPr>
            <w:tcW w:type="dxa" w:w="3828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≥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1</w:t>
            </w:r>
          </w:p>
        </w:tc>
      </w:tr>
      <w:tr>
        <w:trPr>
          <w:cantSplit/>
        </w:trPr>
        <w:tc>
          <w:tcPr>
            <w:tcW w:type="dxa" w:w="846"/>
            <w:vMerge w:val="restart"/>
            <w:tcBorders/>
            <w:vAlign w:val="center"/>
          </w:tcPr>
          <w:p>
            <w:pPr>
              <w:pStyle w:val="ListParagraph"/>
              <w:numPr>
                <w:ilvl w:val="1"/>
                <w:numId w:val="11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4111"/>
            <w:vMerge w:val="restart"/>
            <w:tcBorders/>
            <w:vAlign w:val="center"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PDT komutatoriaus montuojamo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prie montažinės plokštės ir tvirtinamo ant DIN 35 bėgelio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2)</w:t>
            </w:r>
            <w:r>
              <w:rPr>
                <w:rFonts w:ascii="Arial" w:hAnsi="Arial" w:cs="Arial"/>
                <w:sz w:val="18"/>
                <w:szCs w:val="18"/>
              </w:rPr>
              <w:t xml:space="preserve">/ </w:t>
            </w:r>
            <w:r>
              <w:rPr>
                <w:rFonts w:ascii="Arial" w:hAnsi="Arial" w:cs="Arial"/>
                <w:sz w:val="18"/>
                <w:szCs w:val="18"/>
              </w:rPr>
              <w:t xml:space="preserve">Station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data </w:t>
            </w:r>
            <w:r>
              <w:rPr>
                <w:rFonts w:ascii="Arial" w:hAnsi="Arial" w:cs="Arial"/>
                <w:sz w:val="18"/>
                <w:szCs w:val="18"/>
              </w:rPr>
              <w:t xml:space="preserve">network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commutator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mounted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on the mounting plate</w:t>
            </w:r>
            <w:r>
              <w:rPr>
                <w:rFonts w:ascii="Arial" w:hAnsi="Arial" w:cs="Arial"/>
                <w:sz w:val="18"/>
                <w:szCs w:val="18"/>
              </w:rPr>
              <w:t xml:space="preserve"> DIN 35 </w:t>
            </w:r>
            <w:r>
              <w:rPr>
                <w:rFonts w:ascii="Arial" w:hAnsi="Arial" w:cs="Arial"/>
                <w:sz w:val="18"/>
                <w:szCs w:val="18"/>
              </w:rPr>
              <w:t xml:space="preserve">rail</w:t>
            </w: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  <w:r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2)</w:t>
            </w:r>
          </w:p>
        </w:tc>
        <w:tc>
          <w:tcPr>
            <w:tcW w:type="dxa" w:w="6378"/>
            <w:tcBorders/>
            <w:vAlign w:val="center"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minimalus atstumas nuo grindų RAA spintoje, m/ </w:t>
            </w:r>
            <w:r>
              <w:rPr>
                <w:rFonts w:ascii="Arial" w:hAnsi="Arial" w:cs="Arial"/>
                <w:sz w:val="18"/>
                <w:szCs w:val="18"/>
              </w:rPr>
              <w:t xml:space="preserve">minimum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distance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from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the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floor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in</w:t>
            </w:r>
            <w:r>
              <w:rPr>
                <w:rFonts w:ascii="Arial" w:hAnsi="Arial" w:cs="Arial"/>
                <w:sz w:val="18"/>
                <w:szCs w:val="18"/>
              </w:rPr>
              <w:t xml:space="preserve"> a </w:t>
            </w:r>
            <w:r>
              <w:rPr>
                <w:rFonts w:ascii="Arial" w:hAnsi="Arial" w:cs="Arial"/>
                <w:sz w:val="18"/>
                <w:szCs w:val="18"/>
              </w:rPr>
              <w:t xml:space="preserve">relay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protection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and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automation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cabinet</w:t>
            </w:r>
            <w:r>
              <w:rPr>
                <w:rFonts w:ascii="Arial" w:hAnsi="Arial" w:cs="Arial"/>
                <w:sz w:val="18"/>
                <w:szCs w:val="18"/>
              </w:rPr>
              <w:t xml:space="preserve">, m</w:t>
            </w:r>
          </w:p>
        </w:tc>
        <w:tc>
          <w:tcPr>
            <w:tcW w:type="dxa" w:w="3828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≥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1</w:t>
            </w:r>
          </w:p>
        </w:tc>
      </w:tr>
      <w:tr>
        <w:trPr>
          <w:cantSplit/>
        </w:trPr>
        <w:tc>
          <w:tcPr>
            <w:tcW w:type="dxa" w:w="846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4111"/>
            <w:vMerge w:val="continue"/>
            <w:tcBorders/>
            <w:vAlign w:val="center"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type="dxa" w:w="6378"/>
            <w:tcBorders/>
            <w:vAlign w:val="center"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minimalus tarpas aušinimo užtikrinimui nuo komutatoriaus radiatoriaus, cm/ </w:t>
            </w:r>
            <w:r>
              <w:rPr>
                <w:rFonts w:ascii="Arial" w:hAnsi="Arial" w:cs="Arial"/>
                <w:sz w:val="18"/>
                <w:szCs w:val="18"/>
              </w:rPr>
              <w:t xml:space="preserve">minimum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space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cooling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assurance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from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the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commutator</w:t>
            </w:r>
            <w:r>
              <w:rPr>
                <w:rFonts w:ascii="Arial" w:hAnsi="Arial" w:cs="Arial"/>
                <w:sz w:val="18"/>
                <w:szCs w:val="18"/>
              </w:rPr>
              <w:t xml:space="preserve">, cm</w:t>
            </w:r>
          </w:p>
        </w:tc>
        <w:tc>
          <w:tcPr>
            <w:tcW w:type="dxa" w:w="3828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≥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10</w:t>
            </w: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1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0489"/>
            <w:gridSpan w:val="2"/>
            <w:tcBorders/>
            <w:vAlign w:val="center"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Vidinio montažo laidai turi būti klojami  </w:t>
            </w:r>
            <w:r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2)</w:t>
            </w:r>
            <w:r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</w:t>
            </w:r>
            <w:r>
              <w:rPr>
                <w:rFonts w:ascii="Arial" w:hAnsi="Arial" w:cs="Arial"/>
                <w:noProof/>
                <w:sz w:val="18"/>
                <w:szCs w:val="18"/>
                <w:lang w:val="en"/>
              </w:rPr>
              <w:t xml:space="preserve">Internal wiring leads shall be installed in</w:t>
            </w:r>
            <w:r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 2) </w:t>
            </w:r>
          </w:p>
        </w:tc>
        <w:tc>
          <w:tcPr>
            <w:tcW w:type="dxa" w:w="3828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PVC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loveliuose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/ PVC trays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1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4317"/>
            <w:gridSpan w:val="3"/>
            <w:tcBorders/>
            <w:vAlign w:val="center"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Techniniai reikalavimai antrinių RAA grandinių tarpiniams gnybtams ir jų rinklėms </w:t>
            </w:r>
            <w:r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2)</w:t>
            </w:r>
            <w:r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Technical requirements for secondary relay protection and automation circuits terminal blocks and assemblys </w:t>
            </w:r>
            <w:r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2)</w:t>
            </w: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2"/>
                <w:numId w:val="11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0489"/>
            <w:gridSpan w:val="2"/>
            <w:tcBorders/>
            <w:vAlign w:val="center"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Antrinių grandinių gnybtai ir jų rinklės turi atitikti standarto reikalavimus </w:t>
            </w:r>
            <w:r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2)</w:t>
            </w:r>
            <w:r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Secondary circuits terminals and its assemblies must meet the requirements of the standard </w:t>
            </w:r>
            <w:r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2)</w:t>
            </w:r>
          </w:p>
        </w:tc>
        <w:tc>
          <w:tcPr>
            <w:tcW w:type="dxa" w:w="3828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LST EN 60947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2"/>
                <w:numId w:val="11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0489"/>
            <w:gridSpan w:val="2"/>
            <w:tcBorders/>
            <w:vAlign w:val="center"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Srovės, įtampos, valdymo ir signalinių grandinių gnybtai su testavimo/diagnostikos įrangos prijungimo galimybę, neatjungus prijungtų vidinio montažo ir kabelių laidininkų </w:t>
            </w:r>
            <w:r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2)</w:t>
            </w:r>
            <w:r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Current, voltage, control and signaling circuits terminals </w:t>
            </w:r>
            <w:r>
              <w:rPr>
                <w:rFonts w:ascii="Arial" w:hAnsi="Arial" w:cs="Arial"/>
                <w:noProof/>
                <w:sz w:val="18"/>
                <w:szCs w:val="18"/>
                <w:lang w:val="en"/>
              </w:rPr>
              <w:t xml:space="preserve">with testing/ diagnostic equipment connection possibility, without disconnecting the connected to this terminals internal wiring and cable conductors</w:t>
            </w:r>
            <w:r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2)</w:t>
            </w:r>
          </w:p>
        </w:tc>
        <w:tc>
          <w:tcPr>
            <w:tcW w:type="dxa" w:w="3828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Testavimo įrangos prijungimo jungtys, kaip numatyta gnybtų gamintojo kataloge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  <w:r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</w:t>
            </w:r>
            <w:r>
              <w:rPr>
                <w:rFonts w:ascii="Arial" w:hAnsi="Arial" w:cs="Arial"/>
                <w:noProof/>
                <w:sz w:val="18"/>
                <w:szCs w:val="18"/>
                <w:lang w:val="en"/>
              </w:rPr>
              <w:t xml:space="preserve">Test equipment connection terminals connections as provided by the manufacturer catalog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2"/>
                <w:numId w:val="11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0489"/>
            <w:gridSpan w:val="2"/>
            <w:tcBorders/>
            <w:vAlign w:val="center"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Laidų prijungimas prie gnybtų kontaktų </w:t>
            </w:r>
            <w:r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2)</w:t>
            </w:r>
            <w:r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Wire connection to terminals contact </w:t>
            </w:r>
            <w:r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2)</w:t>
            </w:r>
          </w:p>
        </w:tc>
        <w:tc>
          <w:tcPr>
            <w:tcW w:type="dxa" w:w="3828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Varžtu prisukami gnybtai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/ S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crew-type terminals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</w:tr>
      <w:tr>
        <w:trPr>
          <w:cantSplit/>
        </w:trPr>
        <w:tc>
          <w:tcPr>
            <w:tcW w:type="dxa" w:w="846"/>
            <w:vMerge w:val="restart"/>
            <w:tcBorders/>
            <w:vAlign w:val="center"/>
          </w:tcPr>
          <w:p>
            <w:pPr>
              <w:pStyle w:val="ListParagraph"/>
              <w:numPr>
                <w:ilvl w:val="2"/>
                <w:numId w:val="11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4111"/>
            <w:vMerge w:val="restart"/>
            <w:tcBorders/>
            <w:vAlign w:val="center"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Antrinių srovės grandinių gnybtai </w:t>
            </w:r>
            <w:r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2)</w:t>
            </w:r>
            <w:r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S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econdary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 current circuit’s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terminals </w:t>
            </w:r>
            <w:r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2)</w:t>
            </w:r>
          </w:p>
        </w:tc>
        <w:tc>
          <w:tcPr>
            <w:tcW w:type="dxa" w:w="6378"/>
            <w:tcBorders/>
            <w:vAlign w:val="center"/>
          </w:tcPr>
          <w:p>
            <w:pPr>
              <w:spacing/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srovė/ </w:t>
            </w:r>
          </w:p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Rated terminal current, A</w:t>
            </w:r>
          </w:p>
        </w:tc>
        <w:tc>
          <w:tcPr>
            <w:tcW w:type="dxa" w:w="3828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≥ 41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a)</w:t>
            </w:r>
          </w:p>
        </w:tc>
      </w:tr>
      <w:tr>
        <w:trPr>
          <w:cantSplit/>
        </w:trPr>
        <w:tc>
          <w:tcPr>
            <w:tcW w:type="dxa" w:w="846"/>
            <w:vMerge w:val="continue"/>
            <w:tcBorders/>
            <w:vAlign w:val="center"/>
          </w:tcPr>
          <w:p>
            <w:pPr>
              <w:pStyle w:val="ListParagraph"/>
              <w:numPr>
                <w:ilvl w:val="2"/>
                <w:numId w:val="11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4111"/>
            <w:vMerge w:val="continue"/>
            <w:tcBorders/>
            <w:vAlign w:val="center"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type="dxa" w:w="6378"/>
            <w:tcBorders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įtampa/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Rated terminal voltage,</w:t>
            </w:r>
            <w:r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 V</w:t>
            </w:r>
          </w:p>
        </w:tc>
        <w:tc>
          <w:tcPr>
            <w:tcW w:type="dxa" w:w="3828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≥ 300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a)</w:t>
            </w:r>
          </w:p>
        </w:tc>
      </w:tr>
      <w:tr>
        <w:trPr>
          <w:cantSplit/>
        </w:trPr>
        <w:tc>
          <w:tcPr>
            <w:tcW w:type="dxa" w:w="846"/>
            <w:vMerge w:val="continue"/>
            <w:tcBorders/>
            <w:vAlign w:val="center"/>
          </w:tcPr>
          <w:p>
            <w:pPr>
              <w:pStyle w:val="ListParagraph"/>
              <w:numPr>
                <w:ilvl w:val="2"/>
                <w:numId w:val="11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4111"/>
            <w:vMerge w:val="continue"/>
            <w:tcBorders/>
            <w:vAlign w:val="center"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type="dxa" w:w="6378"/>
            <w:tcBorders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Gnybto kontakto skerpjūvis laido prijungimui/ </w:t>
            </w:r>
            <w:r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Terminal contact cross-section for the wire connection</w:t>
            </w:r>
            <w:r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, mm</w:t>
            </w:r>
            <w:r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2</w:t>
            </w:r>
          </w:p>
        </w:tc>
        <w:tc>
          <w:tcPr>
            <w:tcW w:type="dxa" w:w="3828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nuo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/from 0,5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iki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/up to </w:t>
            </w:r>
            <w:r>
              <w:rPr>
                <w:rFonts w:ascii="Arial" w:hAnsi="Arial" w:cs="Arial"/>
                <w:sz w:val="18"/>
                <w:szCs w:val="18"/>
              </w:rPr>
              <w:t xml:space="preserve">10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a)</w:t>
            </w:r>
          </w:p>
        </w:tc>
      </w:tr>
      <w:tr>
        <w:trPr>
          <w:cantSplit/>
        </w:trPr>
        <w:tc>
          <w:tcPr>
            <w:tcW w:type="dxa" w:w="846"/>
            <w:vMerge w:val="continue"/>
            <w:tcBorders/>
            <w:vAlign w:val="center"/>
          </w:tcPr>
          <w:p>
            <w:pPr>
              <w:pStyle w:val="ListParagraph"/>
              <w:numPr>
                <w:ilvl w:val="2"/>
                <w:numId w:val="11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4111"/>
            <w:vMerge w:val="continue"/>
            <w:tcBorders/>
            <w:vAlign w:val="center"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type="dxa" w:w="6378"/>
            <w:tcBorders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Trumpalaikis gnybto terminis atsparumas 1 s trukmės srovės impulsui/ </w:t>
            </w:r>
            <w:r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Short-time terminal thermal </w:t>
            </w:r>
            <w:r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withstand</w:t>
            </w:r>
            <w:r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 current of 1 second duration current pulse</w:t>
            </w:r>
            <w:r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, kA</w:t>
            </w:r>
          </w:p>
        </w:tc>
        <w:tc>
          <w:tcPr>
            <w:tcW w:type="dxa" w:w="3828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≥ 1,2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a)</w:t>
            </w:r>
          </w:p>
        </w:tc>
      </w:tr>
      <w:tr>
        <w:trPr>
          <w:cantSplit/>
        </w:trPr>
        <w:tc>
          <w:tcPr>
            <w:tcW w:type="dxa" w:w="846"/>
            <w:vMerge w:val="continue"/>
            <w:tcBorders/>
            <w:vAlign w:val="center"/>
          </w:tcPr>
          <w:p>
            <w:pPr>
              <w:pStyle w:val="ListParagraph"/>
              <w:numPr>
                <w:ilvl w:val="2"/>
                <w:numId w:val="11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4111"/>
            <w:vMerge w:val="continue"/>
            <w:tcBorders/>
            <w:vAlign w:val="center"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type="dxa" w:w="6378"/>
            <w:tcBorders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Gnybto izoliacijos atsparumas viršįtampiui/ T</w:t>
            </w:r>
            <w:r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erminal</w:t>
            </w:r>
            <w:r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 insulation withstand overvoltage</w:t>
            </w:r>
            <w:r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, kV</w:t>
            </w:r>
          </w:p>
        </w:tc>
        <w:tc>
          <w:tcPr>
            <w:tcW w:type="dxa" w:w="3828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≥ 6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a)</w:t>
            </w:r>
          </w:p>
        </w:tc>
      </w:tr>
      <w:tr>
        <w:trPr>
          <w:cantSplit/>
        </w:trPr>
        <w:tc>
          <w:tcPr>
            <w:tcW w:type="dxa" w:w="846"/>
            <w:vMerge w:val="continue"/>
            <w:tcBorders/>
            <w:vAlign w:val="center"/>
          </w:tcPr>
          <w:p>
            <w:pPr>
              <w:pStyle w:val="ListParagraph"/>
              <w:numPr>
                <w:ilvl w:val="2"/>
                <w:numId w:val="11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4111"/>
            <w:vMerge w:val="continue"/>
            <w:tcBorders/>
            <w:vAlign w:val="center"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type="dxa" w:w="6378"/>
            <w:tcBorders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Grandinės nutraukimui gnybto konstrukcija su/ C</w:t>
            </w:r>
            <w:r>
              <w:rPr>
                <w:rFonts w:ascii="Arial" w:hAnsi="Arial" w:cs="Arial"/>
                <w:noProof/>
                <w:sz w:val="18"/>
                <w:szCs w:val="18"/>
                <w:lang w:val="en"/>
              </w:rPr>
              <w:t xml:space="preserve">ircuit termination in terminal construction with</w:t>
            </w:r>
          </w:p>
        </w:tc>
        <w:tc>
          <w:tcPr>
            <w:tcW w:type="dxa" w:w="3828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Varžtu priveržiamas izoliuotas vertikalus stumdomas tiltelis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a)</w:t>
            </w:r>
            <w:r>
              <w:rPr>
                <w:rFonts w:ascii="Arial" w:hAnsi="Arial" w:cs="Arial"/>
                <w:sz w:val="18"/>
                <w:szCs w:val="18"/>
              </w:rPr>
              <w:t xml:space="preserve">/ </w:t>
            </w:r>
            <w:r>
              <w:rPr>
                <w:rFonts w:ascii="Arial" w:hAnsi="Arial" w:cs="Arial"/>
                <w:sz w:val="18"/>
                <w:szCs w:val="18"/>
              </w:rPr>
              <w:t xml:space="preserve">Screw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tightened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 xml:space="preserve">isolated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 xml:space="preserve">vertical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sliding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bridge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a)</w:t>
            </w:r>
          </w:p>
        </w:tc>
      </w:tr>
      <w:tr>
        <w:trPr>
          <w:cantSplit/>
        </w:trPr>
        <w:tc>
          <w:tcPr>
            <w:tcW w:type="dxa" w:w="846"/>
            <w:vMerge w:val="continue"/>
            <w:tcBorders/>
            <w:vAlign w:val="center"/>
          </w:tcPr>
          <w:p>
            <w:pPr>
              <w:pStyle w:val="ListParagraph"/>
              <w:numPr>
                <w:ilvl w:val="2"/>
                <w:numId w:val="11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4111"/>
            <w:vMerge w:val="continue"/>
            <w:tcBorders/>
            <w:vAlign w:val="center"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type="dxa" w:w="6378"/>
            <w:tcBorders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Srovės grandinių užtrumpinimui gnybtų rinklės konstrukcijoje/ For current circuit’s short-circuiting terminal structure with</w:t>
            </w:r>
          </w:p>
        </w:tc>
        <w:tc>
          <w:tcPr>
            <w:tcW w:type="dxa" w:w="3828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Trumpiklis, kaip numatyta gnybtų gamintojo kataloge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a)</w:t>
            </w:r>
            <w:r>
              <w:rPr>
                <w:rFonts w:ascii="Arial" w:hAnsi="Arial" w:cs="Arial"/>
                <w:sz w:val="18"/>
                <w:szCs w:val="18"/>
              </w:rPr>
              <w:t xml:space="preserve">/ </w:t>
            </w:r>
            <w:r>
              <w:rPr>
                <w:rFonts w:ascii="Arial" w:hAnsi="Arial" w:cs="Arial"/>
                <w:sz w:val="18"/>
                <w:szCs w:val="18"/>
              </w:rPr>
              <w:t xml:space="preserve">Cross-connection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bride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as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provided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in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the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terminals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manufacturer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catalog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a)</w:t>
            </w:r>
          </w:p>
        </w:tc>
      </w:tr>
      <w:tr>
        <w:trPr>
          <w:cantSplit/>
        </w:trPr>
        <w:tc>
          <w:tcPr>
            <w:tcW w:type="dxa" w:w="846"/>
            <w:vMerge w:val="continue"/>
            <w:tcBorders/>
            <w:vAlign w:val="center"/>
          </w:tcPr>
          <w:p>
            <w:pPr>
              <w:pStyle w:val="ListParagraph"/>
              <w:numPr>
                <w:ilvl w:val="2"/>
                <w:numId w:val="11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4111"/>
            <w:vMerge w:val="continue"/>
            <w:tcBorders/>
            <w:vAlign w:val="center"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type="dxa" w:w="6378"/>
            <w:tcBorders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Minimalus ir maksimalus laido priveržimo jėgos momentas/ The minimum and maximum wire tightening torque, Nm</w:t>
            </w:r>
          </w:p>
        </w:tc>
        <w:tc>
          <w:tcPr>
            <w:tcW w:type="dxa" w:w="3828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Kaip numatyta gnybtų gamintojo kataloge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a)</w:t>
            </w:r>
            <w:r>
              <w:rPr>
                <w:rFonts w:ascii="Arial" w:hAnsi="Arial" w:cs="Arial"/>
                <w:sz w:val="18"/>
                <w:szCs w:val="18"/>
              </w:rPr>
              <w:t xml:space="preserve">/ </w:t>
            </w:r>
            <w:r>
              <w:rPr>
                <w:rFonts w:ascii="Arial" w:hAnsi="Arial" w:cs="Arial"/>
                <w:sz w:val="18"/>
                <w:szCs w:val="18"/>
              </w:rPr>
              <w:t xml:space="preserve">as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provided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in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the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terminals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manufacturer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catalog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a)</w:t>
            </w:r>
          </w:p>
        </w:tc>
      </w:tr>
      <w:tr>
        <w:trPr>
          <w:cantSplit/>
        </w:trPr>
        <w:tc>
          <w:tcPr>
            <w:tcW w:type="dxa" w:w="846"/>
            <w:vMerge w:val="restart"/>
            <w:tcBorders/>
            <w:vAlign w:val="center"/>
          </w:tcPr>
          <w:p>
            <w:pPr>
              <w:pStyle w:val="ListParagraph"/>
              <w:numPr>
                <w:ilvl w:val="2"/>
                <w:numId w:val="11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4111"/>
            <w:vMerge w:val="restart"/>
            <w:tcBorders/>
            <w:vAlign w:val="center"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Antrinių įtampos grandinių gnybtai </w:t>
            </w:r>
            <w:r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2)</w:t>
            </w:r>
            <w:r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Secondary voltage circuit’s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terminals </w:t>
            </w:r>
            <w:r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2)</w:t>
            </w:r>
          </w:p>
        </w:tc>
        <w:tc>
          <w:tcPr>
            <w:tcW w:type="dxa" w:w="6378"/>
            <w:tcBorders/>
            <w:vAlign w:val="center"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įtampa/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Rated terminal voltage</w:t>
            </w:r>
            <w:r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, V</w:t>
            </w:r>
          </w:p>
        </w:tc>
        <w:tc>
          <w:tcPr>
            <w:tcW w:type="dxa" w:w="3828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≥ 300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a)</w:t>
            </w:r>
          </w:p>
        </w:tc>
      </w:tr>
      <w:tr>
        <w:trPr>
          <w:cantSplit/>
        </w:trPr>
        <w:tc>
          <w:tcPr>
            <w:tcW w:type="dxa" w:w="846"/>
            <w:vMerge w:val="continue"/>
            <w:tcBorders/>
            <w:vAlign w:val="center"/>
          </w:tcPr>
          <w:p>
            <w:pPr>
              <w:pStyle w:val="ListParagraph"/>
              <w:numPr>
                <w:ilvl w:val="2"/>
                <w:numId w:val="11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4111"/>
            <w:vMerge w:val="continue"/>
            <w:tcBorders/>
            <w:vAlign w:val="center"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type="dxa" w:w="6378"/>
            <w:tcBorders/>
            <w:vAlign w:val="center"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srovė/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Rated terminal current</w:t>
            </w:r>
            <w:r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, A</w:t>
            </w:r>
          </w:p>
        </w:tc>
        <w:tc>
          <w:tcPr>
            <w:tcW w:type="dxa" w:w="3828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≥ 41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a)</w:t>
            </w:r>
          </w:p>
        </w:tc>
      </w:tr>
      <w:tr>
        <w:trPr>
          <w:cantSplit/>
        </w:trPr>
        <w:tc>
          <w:tcPr>
            <w:tcW w:type="dxa" w:w="846"/>
            <w:vMerge w:val="continue"/>
            <w:tcBorders/>
            <w:vAlign w:val="center"/>
          </w:tcPr>
          <w:p>
            <w:pPr>
              <w:pStyle w:val="ListParagraph"/>
              <w:numPr>
                <w:ilvl w:val="2"/>
                <w:numId w:val="11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4111"/>
            <w:vMerge w:val="continue"/>
            <w:tcBorders/>
            <w:vAlign w:val="center"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type="dxa" w:w="6378"/>
            <w:tcBorders/>
            <w:vAlign w:val="center"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Gnybto kontakto skerpjūvis laido prijungimui/ </w:t>
            </w:r>
            <w:r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Terminal contact cross-section for the wire connection</w:t>
            </w:r>
            <w:r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, mm</w:t>
            </w:r>
            <w:r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2</w:t>
            </w:r>
          </w:p>
        </w:tc>
        <w:tc>
          <w:tcPr>
            <w:tcW w:type="dxa" w:w="3828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nuo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/from 0,5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iki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/up to </w:t>
            </w:r>
            <w:r>
              <w:rPr>
                <w:rFonts w:ascii="Arial" w:hAnsi="Arial" w:cs="Arial"/>
                <w:sz w:val="18"/>
                <w:szCs w:val="18"/>
              </w:rPr>
              <w:t xml:space="preserve">10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a)</w:t>
            </w:r>
          </w:p>
        </w:tc>
      </w:tr>
      <w:tr>
        <w:trPr>
          <w:cantSplit/>
        </w:trPr>
        <w:tc>
          <w:tcPr>
            <w:tcW w:type="dxa" w:w="846"/>
            <w:vMerge w:val="continue"/>
            <w:tcBorders/>
            <w:vAlign w:val="center"/>
          </w:tcPr>
          <w:p>
            <w:pPr>
              <w:pStyle w:val="ListParagraph"/>
              <w:numPr>
                <w:ilvl w:val="2"/>
                <w:numId w:val="11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4111"/>
            <w:vMerge w:val="continue"/>
            <w:tcBorders/>
            <w:vAlign w:val="center"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type="dxa" w:w="6378"/>
            <w:tcBorders/>
            <w:vAlign w:val="center"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Trumpalaikis gnybto terminis atsparumas 1 s trukmės srovės impulsui/ </w:t>
            </w:r>
            <w:r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Short-time terminal thermal </w:t>
            </w:r>
            <w:r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withstand</w:t>
            </w:r>
            <w:r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 current of 1 second duration current pulse</w:t>
            </w:r>
            <w:r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, kA</w:t>
            </w:r>
          </w:p>
        </w:tc>
        <w:tc>
          <w:tcPr>
            <w:tcW w:type="dxa" w:w="3828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≥ 1,2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a)</w:t>
            </w:r>
          </w:p>
        </w:tc>
      </w:tr>
      <w:tr>
        <w:trPr>
          <w:cantSplit/>
        </w:trPr>
        <w:tc>
          <w:tcPr>
            <w:tcW w:type="dxa" w:w="846"/>
            <w:vMerge w:val="continue"/>
            <w:tcBorders/>
            <w:vAlign w:val="center"/>
          </w:tcPr>
          <w:p>
            <w:pPr>
              <w:pStyle w:val="ListParagraph"/>
              <w:numPr>
                <w:ilvl w:val="2"/>
                <w:numId w:val="11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4111"/>
            <w:vMerge w:val="continue"/>
            <w:tcBorders/>
            <w:vAlign w:val="center"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type="dxa" w:w="6378"/>
            <w:tcBorders/>
            <w:vAlign w:val="center"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Gnybto izoliacijos atsparumas viršįtampiams/ T</w:t>
            </w:r>
            <w:r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erminal</w:t>
            </w:r>
            <w:r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 insulation withstand overvoltage</w:t>
            </w:r>
            <w:r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, kV</w:t>
            </w:r>
          </w:p>
        </w:tc>
        <w:tc>
          <w:tcPr>
            <w:tcW w:type="dxa" w:w="3828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≥ 6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a)</w:t>
            </w:r>
          </w:p>
        </w:tc>
      </w:tr>
      <w:tr>
        <w:trPr>
          <w:cantSplit/>
        </w:trPr>
        <w:tc>
          <w:tcPr>
            <w:tcW w:type="dxa" w:w="846"/>
            <w:vMerge w:val="continue"/>
            <w:tcBorders/>
            <w:vAlign w:val="center"/>
          </w:tcPr>
          <w:p>
            <w:pPr>
              <w:pStyle w:val="ListParagraph"/>
              <w:numPr>
                <w:ilvl w:val="2"/>
                <w:numId w:val="11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4111"/>
            <w:vMerge w:val="continue"/>
            <w:tcBorders/>
            <w:vAlign w:val="center"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type="dxa" w:w="6378"/>
            <w:tcBorders/>
            <w:vAlign w:val="center"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Grandinės nutraukimui gnybto konstrukcija su/ C</w:t>
            </w:r>
            <w:r>
              <w:rPr>
                <w:rFonts w:ascii="Arial" w:hAnsi="Arial" w:cs="Arial"/>
                <w:noProof/>
                <w:sz w:val="18"/>
                <w:szCs w:val="18"/>
                <w:lang w:val="en"/>
              </w:rPr>
              <w:t xml:space="preserve">ircuit termination in terminal construction with</w:t>
            </w:r>
          </w:p>
        </w:tc>
        <w:tc>
          <w:tcPr>
            <w:tcW w:type="dxa" w:w="3828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Varžtu priveržiamas izoliuotas vertikalus stumdomas tiltelis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a)</w:t>
            </w:r>
            <w:r>
              <w:rPr>
                <w:rFonts w:ascii="Arial" w:hAnsi="Arial" w:cs="Arial"/>
                <w:sz w:val="18"/>
                <w:szCs w:val="18"/>
              </w:rPr>
              <w:t xml:space="preserve">/ </w:t>
            </w:r>
            <w:r>
              <w:rPr>
                <w:rFonts w:ascii="Arial" w:hAnsi="Arial" w:cs="Arial"/>
                <w:sz w:val="18"/>
                <w:szCs w:val="18"/>
              </w:rPr>
              <w:t xml:space="preserve">Cross-connection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bride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as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provided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in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the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terminals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manufacturer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catalog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a)</w:t>
            </w:r>
          </w:p>
        </w:tc>
      </w:tr>
      <w:tr>
        <w:trPr>
          <w:cantSplit/>
        </w:trPr>
        <w:tc>
          <w:tcPr>
            <w:tcW w:type="dxa" w:w="846"/>
            <w:vMerge w:val="continue"/>
            <w:tcBorders/>
            <w:vAlign w:val="center"/>
          </w:tcPr>
          <w:p>
            <w:pPr>
              <w:pStyle w:val="ListParagraph"/>
              <w:numPr>
                <w:ilvl w:val="2"/>
                <w:numId w:val="11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4111"/>
            <w:vMerge w:val="continue"/>
            <w:tcBorders/>
            <w:vAlign w:val="center"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type="dxa" w:w="6378"/>
            <w:tcBorders/>
            <w:vAlign w:val="center"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Minimalus ir maksimalus laido priveržimo jėgos momentas/ The minimum and maximum wire tightening torque, Nm</w:t>
            </w:r>
          </w:p>
        </w:tc>
        <w:tc>
          <w:tcPr>
            <w:tcW w:type="dxa" w:w="3828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Kaip numatyta gnybtų gamintojo kataloge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a)</w:t>
            </w:r>
            <w:r>
              <w:rPr>
                <w:rFonts w:ascii="Arial" w:hAnsi="Arial" w:cs="Arial"/>
                <w:sz w:val="18"/>
                <w:szCs w:val="18"/>
              </w:rPr>
              <w:t xml:space="preserve">/ </w:t>
            </w:r>
            <w:r>
              <w:rPr>
                <w:rFonts w:ascii="Arial" w:hAnsi="Arial" w:cs="Arial"/>
                <w:sz w:val="18"/>
                <w:szCs w:val="18"/>
              </w:rPr>
              <w:t xml:space="preserve">as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provided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in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the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terminals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manufacturer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catalog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a)</w:t>
            </w:r>
          </w:p>
        </w:tc>
      </w:tr>
      <w:tr>
        <w:trPr>
          <w:cantSplit/>
        </w:trPr>
        <w:tc>
          <w:tcPr>
            <w:tcW w:type="dxa" w:w="846"/>
            <w:vMerge w:val="restart"/>
            <w:tcBorders/>
            <w:vAlign w:val="center"/>
          </w:tcPr>
          <w:p>
            <w:pPr>
              <w:pStyle w:val="ListParagraph"/>
              <w:numPr>
                <w:ilvl w:val="2"/>
                <w:numId w:val="11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4111"/>
            <w:vMerge w:val="restart"/>
            <w:tcBorders/>
            <w:vAlign w:val="center"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Antrinių valdymo ir signalinių grandinių gnybtai </w:t>
            </w:r>
            <w:r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2)</w:t>
            </w:r>
            <w:r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secondary control and signaling circuit’s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terminals </w:t>
            </w:r>
            <w:r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2)</w:t>
            </w:r>
          </w:p>
        </w:tc>
        <w:tc>
          <w:tcPr>
            <w:tcW w:type="dxa" w:w="6378"/>
            <w:tcBorders/>
            <w:vAlign w:val="center"/>
          </w:tcPr>
          <w:p>
            <w:pPr>
              <w:spacing/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įtampa/ </w:t>
            </w:r>
          </w:p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Rated terminal voltage</w:t>
            </w:r>
            <w:r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, V</w:t>
            </w:r>
          </w:p>
        </w:tc>
        <w:tc>
          <w:tcPr>
            <w:tcW w:type="dxa" w:w="3828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≥ 300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a)</w:t>
            </w:r>
          </w:p>
        </w:tc>
      </w:tr>
      <w:tr>
        <w:trPr>
          <w:cantSplit/>
        </w:trPr>
        <w:tc>
          <w:tcPr>
            <w:tcW w:type="dxa" w:w="846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4111"/>
            <w:vMerge w:val="continue"/>
            <w:tcBorders/>
            <w:vAlign w:val="center"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type="dxa" w:w="6378"/>
            <w:tcBorders/>
            <w:vAlign w:val="center"/>
          </w:tcPr>
          <w:p>
            <w:pPr>
              <w:spacing/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srovė/ </w:t>
            </w:r>
          </w:p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Rated terminal current</w:t>
            </w:r>
            <w:r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, A</w:t>
            </w:r>
          </w:p>
        </w:tc>
        <w:tc>
          <w:tcPr>
            <w:tcW w:type="dxa" w:w="3828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≥ 16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a)</w:t>
            </w:r>
          </w:p>
        </w:tc>
      </w:tr>
      <w:tr>
        <w:trPr>
          <w:cantSplit/>
        </w:trPr>
        <w:tc>
          <w:tcPr>
            <w:tcW w:type="dxa" w:w="846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4111"/>
            <w:vMerge w:val="continue"/>
            <w:tcBorders/>
            <w:vAlign w:val="center"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type="dxa" w:w="6378"/>
            <w:tcBorders/>
            <w:vAlign w:val="center"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Gnybto kontakto skerpjūvis laido prijungimui/ </w:t>
            </w:r>
            <w:r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Terminal contact cross-section for the wire connection</w:t>
            </w:r>
            <w:r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, mm</w:t>
            </w:r>
            <w:r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2</w:t>
            </w:r>
          </w:p>
        </w:tc>
        <w:tc>
          <w:tcPr>
            <w:tcW w:type="dxa" w:w="3828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nuo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/from 0,5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iki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/up to </w:t>
            </w:r>
            <w:r>
              <w:rPr>
                <w:rFonts w:ascii="Arial" w:hAnsi="Arial" w:cs="Arial"/>
                <w:sz w:val="18"/>
                <w:szCs w:val="18"/>
              </w:rPr>
              <w:t xml:space="preserve">4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a)</w:t>
            </w:r>
          </w:p>
        </w:tc>
      </w:tr>
      <w:tr>
        <w:trPr>
          <w:cantSplit/>
        </w:trPr>
        <w:tc>
          <w:tcPr>
            <w:tcW w:type="dxa" w:w="846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4111"/>
            <w:vMerge w:val="continue"/>
            <w:tcBorders/>
            <w:vAlign w:val="center"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type="dxa" w:w="6378"/>
            <w:tcBorders/>
            <w:vAlign w:val="center"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Trumpalaikis gnybto terminis atsparumas 1 s trukmės srovės impulsui/ </w:t>
            </w:r>
            <w:r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Short-time terminal thermal </w:t>
            </w:r>
            <w:r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withstand</w:t>
            </w:r>
            <w:r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 current of 1 second duration current pulse</w:t>
            </w:r>
            <w:r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, kA</w:t>
            </w:r>
          </w:p>
        </w:tc>
        <w:tc>
          <w:tcPr>
            <w:tcW w:type="dxa" w:w="3828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≥ 0,18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a)</w:t>
            </w:r>
          </w:p>
        </w:tc>
      </w:tr>
      <w:tr>
        <w:trPr>
          <w:cantSplit/>
        </w:trPr>
        <w:tc>
          <w:tcPr>
            <w:tcW w:type="dxa" w:w="846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4111"/>
            <w:vMerge w:val="continue"/>
            <w:tcBorders/>
            <w:vAlign w:val="center"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type="dxa" w:w="6378"/>
            <w:tcBorders/>
            <w:vAlign w:val="center"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Gnybto izoliacijos atsparumas viršįtampiams/ T</w:t>
            </w:r>
            <w:r>
              <w:rPr>
                <w:rFonts w:ascii="Arial" w:hAnsi="Arial" w:cs="Arial"/>
                <w:noProof/>
                <w:sz w:val="18"/>
                <w:szCs w:val="18"/>
                <w:lang w:val="en"/>
              </w:rPr>
              <w:t xml:space="preserve">erminal insulation withstand overvoltage</w:t>
            </w:r>
            <w:r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, kV</w:t>
            </w:r>
          </w:p>
        </w:tc>
        <w:tc>
          <w:tcPr>
            <w:tcW w:type="dxa" w:w="3828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≥ 6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a)</w:t>
            </w:r>
          </w:p>
        </w:tc>
      </w:tr>
      <w:tr>
        <w:trPr>
          <w:cantSplit/>
        </w:trPr>
        <w:tc>
          <w:tcPr>
            <w:tcW w:type="dxa" w:w="846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4111"/>
            <w:vMerge w:val="continue"/>
            <w:tcBorders/>
            <w:vAlign w:val="center"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type="dxa" w:w="6378"/>
            <w:tcBorders/>
            <w:vAlign w:val="center"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Grandinės nutraukimui gnybto konstrukcija su/ C</w:t>
            </w:r>
            <w:r>
              <w:rPr>
                <w:rFonts w:ascii="Arial" w:hAnsi="Arial" w:cs="Arial"/>
                <w:noProof/>
                <w:sz w:val="18"/>
                <w:szCs w:val="18"/>
                <w:lang w:val="en"/>
              </w:rPr>
              <w:t xml:space="preserve">ircuit termination in terminal construction with</w:t>
            </w:r>
          </w:p>
        </w:tc>
        <w:tc>
          <w:tcPr>
            <w:tcW w:type="dxa" w:w="3828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izoliuotas vertikalus atkeliamas kirtiklis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a)</w:t>
            </w:r>
            <w:r>
              <w:rPr>
                <w:rFonts w:ascii="Arial" w:hAnsi="Arial" w:cs="Arial"/>
                <w:sz w:val="18"/>
                <w:szCs w:val="18"/>
              </w:rPr>
              <w:t xml:space="preserve">/ </w:t>
            </w:r>
            <w:r>
              <w:rPr>
                <w:rFonts w:ascii="Arial" w:hAnsi="Arial" w:cs="Arial"/>
                <w:sz w:val="18"/>
                <w:szCs w:val="18"/>
              </w:rPr>
              <w:t xml:space="preserve">isolated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vertical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lifting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</w:rPr>
              <w:t xml:space="preserve">knife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disconnect</w:t>
            </w:r>
            <w:r>
              <w:rPr>
                <w:rFonts w:ascii="Arial" w:hAnsi="Arial" w:cs="Arial"/>
                <w:sz w:val="18"/>
                <w:szCs w:val="18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</w:rPr>
              <w:t xml:space="preserve">bridge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a)</w:t>
            </w:r>
          </w:p>
        </w:tc>
      </w:tr>
      <w:tr>
        <w:trPr>
          <w:cantSplit/>
        </w:trPr>
        <w:tc>
          <w:tcPr>
            <w:tcW w:type="dxa" w:w="846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4111"/>
            <w:vMerge w:val="continue"/>
            <w:tcBorders/>
            <w:vAlign w:val="center"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type="dxa" w:w="6378"/>
            <w:tcBorders/>
            <w:vAlign w:val="center"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Minimalus ir maksimalus laido priveržimo jėgos momentas/ The minimum and maximum wire tightening torque, Nm</w:t>
            </w:r>
          </w:p>
        </w:tc>
        <w:tc>
          <w:tcPr>
            <w:tcW w:type="dxa" w:w="3828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Kaip numatyta gnybtų gamintojo kataloge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a)</w:t>
            </w:r>
            <w:r>
              <w:rPr>
                <w:rFonts w:ascii="Arial" w:hAnsi="Arial" w:cs="Arial"/>
                <w:sz w:val="18"/>
                <w:szCs w:val="18"/>
              </w:rPr>
              <w:t xml:space="preserve">/ </w:t>
            </w:r>
            <w:r>
              <w:rPr>
                <w:rFonts w:ascii="Arial" w:hAnsi="Arial" w:cs="Arial"/>
                <w:sz w:val="18"/>
                <w:szCs w:val="18"/>
              </w:rPr>
              <w:t xml:space="preserve">as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provided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in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the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terminals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manufacturer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catalog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a)</w:t>
            </w: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1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4317"/>
            <w:gridSpan w:val="3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Techniniai reikalavimai vidiniam montažui spintoje </w:t>
            </w:r>
            <w:r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2)</w:t>
            </w:r>
            <w:r>
              <w:rPr>
                <w:rFonts w:ascii="Arial" w:hAnsi="Arial" w:cs="Arial"/>
                <w:sz w:val="18"/>
                <w:szCs w:val="18"/>
              </w:rPr>
              <w:t xml:space="preserve">/ </w:t>
            </w:r>
            <w:r>
              <w:rPr>
                <w:rFonts w:ascii="Arial" w:hAnsi="Arial" w:cs="Arial"/>
                <w:sz w:val="18"/>
                <w:szCs w:val="18"/>
              </w:rPr>
              <w:t xml:space="preserve">Technical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requirements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for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internal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cabinet‘s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montage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2)</w:t>
            </w: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2"/>
                <w:numId w:val="11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0489"/>
            <w:gridSpan w:val="2"/>
            <w:tcBorders/>
            <w:vAlign w:val="center"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Visi spintoje montuojami įtaisai ir gnybtų rinklės turi būti ant </w:t>
            </w:r>
            <w:r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2)</w:t>
            </w:r>
            <w:r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All in enclosure mounted devices and terminal assamblies shall be on </w:t>
            </w:r>
            <w:r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2)</w:t>
            </w:r>
          </w:p>
        </w:tc>
        <w:tc>
          <w:tcPr>
            <w:tcW w:type="dxa" w:w="3828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DIN 35 bėgelio, tvirtinamo prie montažinės plokštės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a)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On the DIN 35 rail, mounted to the mounting plate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a)</w:t>
            </w: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2"/>
                <w:numId w:val="11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0489"/>
            <w:gridSpan w:val="2"/>
            <w:tcBorders/>
            <w:vAlign w:val="center"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Projektuojamas atstumas nuo įtaisų, gnybtų rinklių montuojamų ant DIN 35 bėgelio iki PVC lovelio ne mažesnis nei </w:t>
            </w:r>
            <w:r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2)</w:t>
            </w:r>
            <w:r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</w:t>
            </w:r>
            <w:r>
              <w:rPr>
                <w:rFonts w:ascii="Arial" w:hAnsi="Arial" w:cs="Arial"/>
                <w:noProof/>
                <w:sz w:val="18"/>
                <w:szCs w:val="18"/>
                <w:lang w:val="en"/>
              </w:rPr>
              <w:t xml:space="preserve">The projected distance from mounted on a DIN 35 rail devices and terminals assemblies to the PVC tray not less than</w:t>
            </w:r>
            <w:r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mm</w:t>
            </w:r>
            <w:r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 2)</w:t>
            </w:r>
          </w:p>
        </w:tc>
        <w:tc>
          <w:tcPr>
            <w:tcW w:type="dxa" w:w="3828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≥ 50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a)</w:t>
            </w:r>
          </w:p>
        </w:tc>
      </w:tr>
      <w:tr>
        <w:trPr>
          <w:cantSplit/>
        </w:trPr>
        <w:tc>
          <w:tcPr>
            <w:tcW w:type="dxa" w:w="15163"/>
            <w:gridSpan w:val="4"/>
            <w:tcBorders/>
            <w:vAlign w:val="center"/>
          </w:tcPr>
          <w:p>
            <w:pPr>
              <w:spacing/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Pastabos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:/ Notes:</w:t>
            </w:r>
          </w:p>
          <w:p>
            <w:pPr>
              <w:spacing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Gamintojas gali vadovautis standartais ir sertifikatais lygiaverčiais šiuose reikalavimuose nurodytiems IEC standartams ir ISO sertifikatams/ 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The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manufacturer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may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follow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the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standarts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and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certificates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equivalent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to IEC 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standarts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and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ISO 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certificates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specified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in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these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requirements</w:t>
            </w:r>
          </w:p>
          <w:p>
            <w:pPr>
              <w:spacing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 xml:space="preserve">1)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-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Techniniame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projekte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dydžių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reikšmės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gali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būti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koreguojamos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tačiau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tik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griežtinant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reikalavimus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Values can be adjusted in a process of a design but only to more severe conditions.</w:t>
            </w:r>
          </w:p>
          <w:p>
            <w:pPr>
              <w:spacing/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 xml:space="preserve">2)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–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Antrini</w:t>
            </w:r>
            <w:r>
              <w:rPr>
                <w:rFonts w:ascii="Arial" w:hAnsi="Arial" w:cs="Arial" w:hint="eastAsia"/>
                <w:color w:val="000000"/>
                <w:sz w:val="16"/>
                <w:szCs w:val="16"/>
              </w:rPr>
              <w:t xml:space="preserve">ų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grandini</w:t>
            </w:r>
            <w:r>
              <w:rPr>
                <w:rFonts w:ascii="Arial" w:hAnsi="Arial" w:cs="Arial" w:hint="eastAsia"/>
                <w:color w:val="000000"/>
                <w:sz w:val="16"/>
                <w:szCs w:val="16"/>
              </w:rPr>
              <w:t xml:space="preserve">ų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komutuojami </w:t>
            </w:r>
            <w:r>
              <w:rPr>
                <w:rFonts w:ascii="Arial" w:hAnsi="Arial" w:cs="Arial" w:hint="eastAsia"/>
                <w:color w:val="000000"/>
                <w:sz w:val="16"/>
                <w:szCs w:val="16"/>
              </w:rPr>
              <w:t xml:space="preserve">į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taisai ir aparatai,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pagalbinė įranga,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apsaugos aparatai, j</w:t>
            </w:r>
            <w:r>
              <w:rPr>
                <w:rFonts w:ascii="Arial" w:hAnsi="Arial" w:cs="Arial" w:hint="eastAsia"/>
                <w:color w:val="000000"/>
                <w:sz w:val="16"/>
                <w:szCs w:val="16"/>
              </w:rPr>
              <w:t xml:space="preserve">ų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kiekis,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kiti jų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parametrai ir nomenklat</w:t>
            </w:r>
            <w:r>
              <w:rPr>
                <w:rFonts w:ascii="Arial" w:hAnsi="Arial" w:cs="Arial" w:hint="eastAsia"/>
                <w:color w:val="000000"/>
                <w:sz w:val="16"/>
                <w:szCs w:val="16"/>
              </w:rPr>
              <w:t xml:space="preserve">ū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ra nustatomi darbo projekto rengimo metu, o jų atitikimas reikalavimams vertinamas gamyklinių bandymų ir techninės priežiūros metu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/ -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 xml:space="preserve">Commutated secondary circuit devices and apparatus,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 xml:space="preserve">other auxiliary equipment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 xml:space="preserve">,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 xml:space="preserve">protection apparatus, their content, parameters and the nomenclature set at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 xml:space="preserve">working project development time, their compliance are evaluated by factory acceptance  tests and during technical supervision.</w:t>
            </w:r>
          </w:p>
          <w:p>
            <w:pPr>
              <w:spacing/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Rangovo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teikiama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dokumentacija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reikalaujamo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parametro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atitikimo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pagrindimui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:/ Documentation provided by contractor to justify required parameter of the equipment:</w:t>
            </w:r>
          </w:p>
          <w:p>
            <w:pPr>
              <w:numPr>
                <w:ilvl w:val="0"/>
                <w:numId w:val="5"/>
              </w:numPr>
              <w:spacing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Įrenginio gamintojo katalogo ir/ar techninių parametrų suvestinės, ir/ar brėžinio kopija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Copy of the equipment’s manufacturer catalogue and/or summary of technical parameters, and/or drawing of the equipment;</w:t>
            </w:r>
          </w:p>
          <w:p>
            <w:pPr>
              <w:numPr>
                <w:ilvl w:val="0"/>
                <w:numId w:val="5"/>
              </w:numPr>
              <w: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Atitikties s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ertifikato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, išduoto licencijuotos nepriklausomos įstaigos,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kopija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Copy of the conformity certificate issued by notified conformity assessment independent body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;</w:t>
            </w:r>
          </w:p>
        </w:tc>
      </w:tr>
    </w:tbl>
    <w:p w14:paraId="445FDF20">
      <w:pPr>
        <w:spacing/>
        <w:rPr>
          <w:sz w:val="18"/>
          <w:szCs w:val="18"/>
        </w:rPr>
      </w:pPr>
    </w:p>
    <w:p w14:paraId="662577F4">
      <w:pPr>
        <w:spacing/>
        <w:jc w:val="center"/>
        <w:rPr>
          <w:sz w:val="18"/>
          <w:szCs w:val="18"/>
        </w:rPr>
      </w:pPr>
    </w:p>
    <w:p w14:paraId="79FF8FBA">
      <w:pPr>
        <w:spacing/>
        <w:jc w:val="center"/>
        <w:rPr>
          <w:sz w:val="18"/>
          <w:szCs w:val="18"/>
        </w:rPr>
      </w:pPr>
    </w:p>
    <w:p w14:paraId="72BFD2ED">
      <w:pPr>
        <w:spacing/>
        <w:jc w:val="center"/>
        <w:rPr>
          <w:sz w:val="18"/>
          <w:szCs w:val="18"/>
        </w:rPr>
      </w:pPr>
    </w:p>
    <w:sectPr>
      <w:headerReference w:type="default" r:id="rId2"/>
      <w:footerReference w:type="default" r:id="rId3"/>
      <w:type w:val="nextPage"/>
      <w:pgSz w:w="16838" w:h="11906"/>
      <w:pgMar w:top="567" w:right="1701" w:bottom="567" w:left="1134" w:header="0" w:footer="0" w:gutter="0"/>
      <w:pgBorders/>
      <w:pgNumType w:fmt="decimal"/>
      <w:cols w:num="1" w:equalWidth="1"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charset w:val="186"/>
    <w:family w:val="roman"/>
    <w:pitch w:val="variable"/>
    <w:sig w:usb0="E0002EFF" w:usb1="C000785B" w:usb2="00000009" w:usb3="00000000" w:csb0="000001FF" w:csb1="00000000"/>
  </w:font>
  <w:font w:name="Symbol">
    <w:charset w:val="2"/>
    <w:family w:val="roman"/>
    <w:pitch w:val="variable"/>
    <w:sig w:usb0="00000000" w:usb1="10000000" w:usb2="00000000" w:usb3="00000000" w:csb0="80000000" w:csb1="00000000"/>
  </w:font>
  <w:font w:name="Arial">
    <w:charset w:val="186"/>
    <w:family w:val="swiss"/>
    <w:pitch w:val="variable"/>
    <w:sig w:usb0="E0002EFF" w:usb1="C000785B" w:usb2="00000009" w:usb3="00000000" w:csb0="000001FF" w:csb1="00000000"/>
  </w:font>
  <w:font w:name="Courier New">
    <w:charset w:val="186"/>
    <w:family w:val="modern"/>
    <w:pitch w:val="fixed"/>
    <w:sig w:usb0="E0002EFF" w:usb1="C0007843" w:usb2="00000009" w:usb3="00000000" w:csb0="000001FF" w:csb1="00000000"/>
  </w:font>
  <w:font w:name="Wingdings">
    <w:charset w:val="2"/>
    <w:family w:val="auto"/>
    <w:pitch w:val="variable"/>
    <w:sig w:usb0="00000000" w:usb1="10000000" w:usb2="00000000" w:usb3="00000000" w:csb0="80000000" w:csb1="00000000"/>
  </w:font>
  <w:font w:name="Calibri">
    <w:charset w:val="186"/>
    <w:family w:val="swiss"/>
    <w:pitch w:val="variable"/>
    <w:sig w:usb0="E4002EFF" w:usb1="C000247B" w:usb2="00000009" w:usb3="00000000" w:csb0="000001FF" w:csb1="00000000"/>
  </w:font>
  <w:font w:name="Trebuchet MS">
    <w:charset w:val="186"/>
    <w:family w:val="swiss"/>
    <w:pitch w:val="variable"/>
    <w:sig w:usb0="00000687" w:usb1="00000000" w:usb2="00000000" w:usb3="00000000" w:csb0="0000009F" w:csb1="00000000"/>
  </w:font>
  <w:font w:name="Calibri Light">
    <w:charset w:val="186"/>
    <w:family w:val="swiss"/>
    <w:pitch w:val="variable"/>
    <w:sig w:usb0="E4002EFF" w:usb1="C000247B" w:usb2="00000009" w:usb3="00000000" w:csb0="000001FF" w:csb1="00000000"/>
  </w:font>
</w:fonts>
</file>

<file path=word/footer3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="http://schemas.openxmlformats.org/wordprocessingml/2006/main" ve:Ignorable="w14 w15 wp14">
  <w:sdt>
    <w:sdtPr>
      <w:rPr>
        <w:rFonts w:ascii="Trebuchet MS" w:hAnsi="Trebuchet MS"/>
        <w:bCs/>
        <w:sz w:val="16"/>
        <w:szCs w:val="16"/>
      </w:rPr>
      <w:id w:val="-1246334943"/>
      <w:docPartObj>
        <w:docPartGallery w:val="Page Numbers (Bottom of Page)"/>
        <w:docPartUnique/>
      </w:docPartObj>
    </w:sdtPr>
    <w:sdtEndPr>
      <w:rPr>
        <w:bCs w:val="0"/>
        <w:sz w:val="18"/>
        <w:szCs w:val="18"/>
      </w:rPr>
    </w:sdtEndPr>
    <w:sdtContent>
      <w:p w14:paraId="4A6BD60A">
        <w:pPr>
          <w:spacing w:after="0" w:line="240" w:lineRule="auto"/>
          <w:textAlignment w:val="top"/>
          <w:rPr>
            <w:rFonts w:ascii="Arial" w:hAnsi="Arial" w:cs="Arial"/>
            <w:bCs/>
            <w:sz w:val="18"/>
            <w:szCs w:val="18"/>
            <w:lang w:val="en-US"/>
          </w:rPr>
        </w:pPr>
        <w:r>
          <w:rPr>
            <w:rFonts w:ascii="Arial" w:hAnsi="Arial" w:cs="Arial"/>
            <w:bCs/>
            <w:sz w:val="18"/>
            <w:szCs w:val="18"/>
          </w:rPr>
          <w:t xml:space="preserve">STANDARTINIAI TECHNINIAI REIKALAVIMAI RELINĖS APSAUGOS IR AUTOMATIKOS VIDAUS SPINTOMS</w:t>
        </w:r>
      </w:p>
      <w:p w14:paraId="25FF0A36">
        <w:pPr>
          <w:spacing w:after="0" w:line="240" w:lineRule="auto"/>
          <w:textAlignment w:val="top"/>
          <w:rPr>
            <w:rFonts w:ascii="Arial" w:hAnsi="Arial" w:cs="Arial"/>
            <w:bCs/>
            <w:sz w:val="18"/>
            <w:szCs w:val="18"/>
            <w:lang w:val="en-US"/>
          </w:rPr>
        </w:pPr>
        <w:r>
          <w:rPr>
            <w:rFonts w:ascii="Arial" w:hAnsi="Arial" w:cs="Arial"/>
            <w:bCs/>
            <w:sz w:val="18"/>
            <w:szCs w:val="18"/>
            <w:lang w:val="en-US"/>
          </w:rPr>
          <w:t xml:space="preserve">STANDARD TECHNICAL REQUIREMENTS FOR RELAY PROTECTION AND AUTOMATION INDOOR CABINETS</w:t>
        </w:r>
      </w:p>
      <w:p w14:paraId="451145BB">
        <w:pPr>
          <w:spacing w:after="0" w:line="240" w:lineRule="auto"/>
          <w:jc w:val="center"/>
          <w:textAlignment w:val="top"/>
          <w:rPr>
            <w:rFonts w:ascii="Trebuchet MS" w:hAnsi="Trebuchet MS"/>
            <w:sz w:val="18"/>
            <w:szCs w:val="18"/>
          </w:rPr>
        </w:pPr>
        <w:r>
          <w:rPr>
            <w:rFonts w:ascii="Trebuchet MS" w:hAnsi="Trebuchet MS"/>
            <w:sz w:val="18"/>
            <w:szCs w:val="18"/>
          </w:rPr>
          <w:fldChar w:fldCharType="begin"/>
        </w:r>
        <w:r>
          <w:rPr>
            <w:rFonts w:ascii="Trebuchet MS" w:hAnsi="Trebuchet MS"/>
            <w:sz w:val="18"/>
            <w:szCs w:val="18"/>
          </w:rPr>
          <w:instrText xml:space="preserve">PAGE   \* MERGEFORMAT</w:instrText>
        </w:r>
        <w:r>
          <w:rPr>
            <w:rFonts w:ascii="Trebuchet MS" w:hAnsi="Trebuchet MS"/>
            <w:sz w:val="18"/>
            <w:szCs w:val="18"/>
          </w:rPr>
          <w:fldChar w:fldCharType="separate"/>
        </w:r>
        <w:r>
          <w:rPr>
            <w:rFonts w:ascii="Trebuchet MS" w:hAnsi="Trebuchet MS"/>
            <w:sz w:val="18"/>
            <w:szCs w:val="18"/>
          </w:rPr>
          <w:t xml:space="preserve">7</w:t>
        </w:r>
        <w:r>
          <w:rPr>
            <w:rFonts w:ascii="Trebuchet MS" w:hAnsi="Trebuchet MS"/>
            <w:sz w:val="18"/>
            <w:szCs w:val="18"/>
          </w:rPr>
          <w:fldChar w:fldCharType="end"/>
        </w:r>
        <w:r>
          <w:rPr>
            <w:rFonts w:ascii="Trebuchet MS" w:hAnsi="Trebuchet MS"/>
            <w:sz w:val="18"/>
            <w:szCs w:val="18"/>
          </w:rPr>
          <w:t xml:space="preserve"> / </w:t>
        </w:r>
        <w:r>
          <w:rPr>
            <w:rFonts w:ascii="Trebuchet MS" w:hAnsi="Trebuchet MS"/>
            <w:sz w:val="18"/>
            <w:szCs w:val="18"/>
          </w:rPr>
          <w:t xml:space="preserve">7</w:t>
        </w:r>
      </w:p>
    </w:sdtContent>
  </w:sdt>
  <w:p w14:paraId="75814DB0">
    <w:pPr>
      <w:pStyle w:val="Footer"/>
      <w:spacing/>
      <w:rPr/>
    </w:pPr>
  </w:p>
</w:ft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="http://schemas.openxmlformats.org/wordprocessingml/2006/main" ve:Ignorable="w14 w15 wp14">
  <w:p w14:paraId="0DF22BED">
    <w:pPr>
      <w:pStyle w:val="Header"/>
      <w:tabs>
        <w:tab w:val="clear" w:pos="4819"/>
        <w:tab w:val="clear" w:pos="9638"/>
        <w:tab w:val="left" w:pos="8977"/>
      </w:tabs>
      <w:spacing/>
      <w:rPr/>
    </w:pPr>
    <w:r>
      <w:rPr/>
      <w:tab/>
      <w:t xml:space="preserv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0="urn:schemas-microsoft-com:office:word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4864DD"/>
    <w:lvl w:ilvl="0">
      <w:start w:val="1"/>
      <w:numFmt w:val="lowerLetter"/>
      <w:suff w:val="tab"/>
      <w:lvlText w:val="%1)"/>
      <w:pPr>
        <w:spacing/>
        <w:ind w:left="720" w:hanging="360"/>
      </w:pPr>
      <w:rPr/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1">
    <w:nsid w:val="24505936"/>
    <w:lvl w:ilvl="0">
      <w:start w:val="1"/>
      <w:numFmt w:val="decimal"/>
      <w:suff w:val="tab"/>
      <w:lvlText w:val="%1)"/>
      <w:pPr>
        <w:spacing/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2">
    <w:nsid w:val="34C40AD8"/>
    <w:lvl w:ilvl="0">
      <w:start w:val="1"/>
      <w:numFmt w:val="decimal"/>
      <w:suff w:val="tab"/>
      <w:lvlText w:val="1.%1"/>
      <w:lvlJc w:val="right"/>
      <w:pPr>
        <w:spacing/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3">
    <w:nsid w:val="3C23581B"/>
    <w:lvl w:ilvl="0">
      <w:start w:val="1"/>
      <w:numFmt w:val="decimal"/>
      <w:suff w:val="tab"/>
      <w:lvlText w:val="%1)"/>
      <w:pPr>
        <w:spacing/>
        <w:ind w:left="720" w:hanging="360"/>
      </w:pPr>
      <w:rPr>
        <w:rFonts w:hint="default"/>
        <w:vertAlign w:val="superscrip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4">
    <w:nsid w:val="41B27D9C"/>
    <w:lvl w:ilvl="0">
      <w:start w:val="1"/>
      <w:numFmt w:val="lowerLetter"/>
      <w:suff w:val="tab"/>
      <w:lvlText w:val="%1)"/>
      <w:pPr>
        <w:spacing/>
        <w:ind w:left="785" w:hanging="360"/>
      </w:pPr>
      <w:rPr>
        <w:rFonts w:hint="default"/>
        <w:sz w:val="16"/>
        <w:szCs w:val="16"/>
        <w:vertAlign w:val="baseline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5">
    <w:nsid w:val="467C41CD"/>
    <w:lvl w:ilvl="0">
      <w:start w:val="1"/>
      <w:numFmt w:val="lowerLetter"/>
      <w:suff w:val="tab"/>
      <w:lvlText w:val="%1)"/>
      <w:pPr>
        <w:spacing/>
        <w:ind w:left="785" w:hanging="360"/>
      </w:pPr>
      <w:rPr>
        <w:rFonts w:hint="default"/>
        <w:sz w:val="16"/>
        <w:szCs w:val="16"/>
        <w:vertAlign w:val="baseline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6">
    <w:nsid w:val="4BF25932"/>
    <w:lvl w:ilvl="0">
      <w:start w:val="1"/>
      <w:numFmt w:val="decimal"/>
      <w:suff w:val="tab"/>
      <w:lvlText w:val="%1."/>
      <w:pPr>
        <w:spacing/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7">
    <w:nsid w:val="5E6A57A6"/>
    <w:lvl w:ilvl="0">
      <w:start w:val="0"/>
      <w:numFmt w:val="bullet"/>
      <w:suff w:val="tab"/>
      <w:lvlText w:val=""/>
      <w:pPr>
        <w:spacing/>
        <w:ind w:left="720" w:hanging="360"/>
      </w:pPr>
      <w:rPr>
        <w:rFonts w:ascii="Symbol" w:hAnsi="Symbol" w:eastAsia="Times New Roman" w:cs="Arial" w:hint="default"/>
      </w:rPr>
    </w:lvl>
    <w:lvl w:ilvl="1">
      <w:start w:val="1"/>
      <w:numFmt w:val="bullet"/>
      <w:suff w:val="tab"/>
      <w:lvlText w:val="o"/>
      <w:pPr>
        <w:spacing/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480" w:hanging="360"/>
      </w:pPr>
      <w:rPr>
        <w:rFonts w:ascii="Wingdings" w:hAnsi="Wingdings" w:hint="default"/>
      </w:rPr>
    </w:lvl>
  </w:abstractNum>
  <w:abstractNum w:abstractNumId="8">
    <w:nsid w:val="64026E9A"/>
    <w:lvl w:ilvl="0">
      <w:start w:val="1"/>
      <w:numFmt w:val="decimal"/>
      <w:suff w:val="tab"/>
      <w:lvlText w:val="%1)"/>
      <w:pPr>
        <w:spacing/>
        <w:ind w:left="644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9">
    <w:nsid w:val="6C623F72"/>
    <w:lvl w:ilvl="0">
      <w:start w:val="1"/>
      <w:numFmt w:val="lowerLetter"/>
      <w:suff w:val="tab"/>
      <w:lvlText w:val="%1)"/>
      <w:pPr>
        <w:spacing/>
        <w:ind w:left="1287" w:hanging="360"/>
      </w:pPr>
      <w:rPr/>
    </w:lvl>
    <w:lvl w:ilvl="1">
      <w:start w:val="1"/>
      <w:numFmt w:val="lowerLetter"/>
      <w:suff w:val="tab"/>
      <w:lvlText w:val="%2."/>
      <w:pPr>
        <w:spacing/>
        <w:ind w:left="2007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727" w:hanging="180"/>
      </w:pPr>
      <w:rPr/>
    </w:lvl>
    <w:lvl w:ilvl="3">
      <w:start w:val="1"/>
      <w:numFmt w:val="decimal"/>
      <w:suff w:val="tab"/>
      <w:lvlText w:val="%4."/>
      <w:pPr>
        <w:spacing/>
        <w:ind w:left="3447" w:hanging="360"/>
      </w:pPr>
      <w:rPr/>
    </w:lvl>
    <w:lvl w:ilvl="4">
      <w:start w:val="1"/>
      <w:numFmt w:val="lowerLetter"/>
      <w:suff w:val="tab"/>
      <w:lvlText w:val="%5."/>
      <w:pPr>
        <w:spacing/>
        <w:ind w:left="4167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887" w:hanging="180"/>
      </w:pPr>
      <w:rPr/>
    </w:lvl>
    <w:lvl w:ilvl="6">
      <w:start w:val="1"/>
      <w:numFmt w:val="decimal"/>
      <w:suff w:val="tab"/>
      <w:lvlText w:val="%7."/>
      <w:pPr>
        <w:spacing/>
        <w:ind w:left="5607" w:hanging="360"/>
      </w:pPr>
      <w:rPr/>
    </w:lvl>
    <w:lvl w:ilvl="7">
      <w:start w:val="1"/>
      <w:numFmt w:val="lowerLetter"/>
      <w:suff w:val="tab"/>
      <w:lvlText w:val="%8."/>
      <w:pPr>
        <w:spacing/>
        <w:ind w:left="6327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7047" w:hanging="180"/>
      </w:pPr>
      <w:rPr/>
    </w:lvl>
  </w:abstractNum>
  <w:abstractNum w:abstractNumId="10">
    <w:nsid w:val="7FE001E4"/>
    <w:lvl w:ilvl="0">
      <w:start w:val="1"/>
      <w:numFmt w:val="decimal"/>
      <w:suff w:val="tab"/>
      <w:lvlText w:val="%1."/>
      <w:pPr>
        <w:spacing/>
        <w:ind w:left="360" w:hanging="360"/>
      </w:pPr>
      <w:rPr>
        <w:rFonts w:hint="default"/>
      </w:rPr>
    </w:lvl>
    <w:lvl w:ilvl="1">
      <w:start w:val="1"/>
      <w:numFmt w:val="decimal"/>
      <w:suff w:val="tab"/>
      <w:lvlText w:val="%1.%2."/>
      <w:pPr>
        <w:spacing/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suff w:val="tab"/>
      <w:lvlText w:val="%1.%2.%3."/>
      <w:pPr>
        <w:spacing/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suff w:val="tab"/>
      <w:lvlText w:val="%1.%2.%3.%4."/>
      <w:pPr>
        <w:spacing/>
        <w:ind w:left="1728" w:hanging="1728"/>
      </w:pPr>
      <w:rPr>
        <w:rFonts w:hint="default"/>
      </w:rPr>
    </w:lvl>
    <w:lvl w:ilvl="4">
      <w:start w:val="1"/>
      <w:numFmt w:val="decimal"/>
      <w:suff w:val="tab"/>
      <w:lvlText w:val="%1.%2.%3.%4.%5."/>
      <w:pPr>
        <w:spacing/>
        <w:ind w:left="2232" w:hanging="792"/>
      </w:pPr>
      <w:rPr>
        <w:rFonts w:hint="default"/>
      </w:rPr>
    </w:lvl>
    <w:lvl w:ilvl="5">
      <w:start w:val="1"/>
      <w:numFmt w:val="decimal"/>
      <w:suff w:val="tab"/>
      <w:lvlText w:val="%1.%2.%3.%4.%5.%6."/>
      <w:pPr>
        <w:spacing/>
        <w:ind w:left="2736" w:hanging="936"/>
      </w:pPr>
      <w:rPr>
        <w:rFonts w:hint="default"/>
      </w:rPr>
    </w:lvl>
    <w:lvl w:ilvl="6">
      <w:start w:val="1"/>
      <w:numFmt w:val="decimal"/>
      <w:suff w:val="tab"/>
      <w:lvlText w:val="%1.%2.%3.%4.%5.%6.%7."/>
      <w:pPr>
        <w:spacing/>
        <w:ind w:left="3240" w:hanging="1080"/>
      </w:pPr>
      <w:rPr>
        <w:rFonts w:hint="default"/>
      </w:rPr>
    </w:lvl>
    <w:lvl w:ilvl="7">
      <w:start w:val="1"/>
      <w:numFmt w:val="decimal"/>
      <w:suff w:val="tab"/>
      <w:lvlText w:val="%1.%2.%3.%4.%5.%6.%7.%8."/>
      <w:pPr>
        <w:spacing/>
        <w:ind w:left="3744" w:hanging="1224"/>
      </w:pPr>
      <w:rPr>
        <w:rFonts w:hint="default"/>
      </w:rPr>
    </w:lvl>
    <w:lvl w:ilvl="8">
      <w:start w:val="1"/>
      <w:numFmt w:val="decimal"/>
      <w:suff w:val="tab"/>
      <w:lvlText w:val="%1.%2.%3.%4.%5.%6.%7.%8.%9."/>
      <w:pPr>
        <w:spacing/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w15="http://schemas.microsoft.com/office/word/2012/wordml" xmlns:sl="http://schemas.openxmlformats.org/schemaLibrary/2006/main" xmlns:w="http://schemas.openxmlformats.org/wordprocessingml/2006/main" mc:Ignorable="w14 w15">
  <w:zoom w:val="none"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intLim m:val="subSup"/>
    <m:naryLim m:val="undOvr"/>
  </m:mathPr>
  <w:themeFontLang w:val="lt-LT"/>
  <w:clrSchemeMapping xmlns:w="http://schemas.openxmlformats.org/wordprocessingml/2006/main" w:bg1="light1" w:t1="dark1" w:bg2="light2" w:t2="dark2" w:accent1="accent1" w:accent2="accent2" w:accent3="accent3" w:accent4="accent4" w:accent5="accent5" w:accent6="accent6" w:hyperlink="hyperlink" w:followedHyperlink="followedHyperlink"/>
  <w:decimalSymbol xmlns:w="http://schemas.openxmlformats.org/wordprocessingml/2006/main" w:val=","/>
  <w:listSeparator xmlns:w="http://schemas.openxmlformats.org/wordprocessingml/2006/main"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xmlns:w="http://schemas.openxmlformats.org/wordprocessingml/2006/main"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/>
    </w:pPr>
    <w:rPr>
      <w:rFonts w:ascii="Times New Roman" w:hAnsi="Times New Roman" w:eastAsia="Times New Roman" w:cs="Times New Roman"/>
      <w:sz w:val="24"/>
      <w:szCs w:val="24"/>
      <w:lang w:eastAsia="lt-LT"/>
    </w:rPr>
  </w:style>
  <w:style w:type="character" w:styleId="DefaultParagraphFont" w:default="1">
    <w:name w:val="Default Paragraph Font"/>
    <w:uiPriority w:val="1"/>
    <w:semiHidden/>
    <w:unhideWhenUsed/>
    <w:rPr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basedOn w:val="Normal"/>
    <w:uiPriority w:val="34"/>
    <w:qFormat/>
    <w:pPr>
      <w:spacing/>
      <w:ind w:left="720"/>
      <w:contextualSpacing/>
    </w:pPr>
    <w:rPr/>
  </w:style>
  <w:style w:type="character" w:styleId="hps" w:customStyle="1">
    <w:name w:val="hps"/>
    <w:basedOn w:val="DefaultParagraphFont"/>
    <w:rPr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819"/>
        <w:tab w:val="right" w:pos="9638"/>
      </w:tabs>
      <w:spacing/>
    </w:pPr>
    <w:rPr/>
  </w:style>
  <w:style w:type="character" w:styleId="HeaderChar" w:customStyle="1">
    <w:name w:val="Header Char"/>
    <w:basedOn w:val="DefaultParagraphFont"/>
    <w:link w:val="Header"/>
    <w:uiPriority w:val="99"/>
    <w:rPr>
      <w:rFonts w:ascii="Times New Roman" w:hAnsi="Times New Roman" w:eastAsia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819"/>
        <w:tab w:val="right" w:pos="9638"/>
      </w:tabs>
      <w:spacing/>
    </w:pPr>
    <w:rPr/>
  </w:style>
  <w:style w:type="character" w:styleId="FooterChar" w:customStyle="1">
    <w:name w:val="Footer Char"/>
    <w:basedOn w:val="DefaultParagraphFont"/>
    <w:link w:val="Footer"/>
    <w:uiPriority w:val="99"/>
    <w:rPr>
      <w:rFonts w:ascii="Times New Roman" w:hAnsi="Times New Roman" w:eastAsia="Times New Roman" w:cs="Times New Roman"/>
      <w:sz w:val="24"/>
      <w:szCs w:val="24"/>
      <w:lang w:eastAsia="lt-LT"/>
    </w:rPr>
  </w:style>
  <w:style w:type="character" w:styleId="shorttext" w:customStyle="1">
    <w:name w:val="short_text"/>
    <w:basedOn w:val="DefaultParagraphFont"/>
    <w:rPr/>
  </w:style>
  <w:style w:type="paragraph" w:styleId="Default" w:customStyle="1">
    <w:name w:val="Default"/>
    <w:pPr>
      <w:autoSpaceDE w:val="false"/>
      <w:autoSpaceDN w:val="false"/>
      <w:adjustRightInd w:val="false"/>
      <w:spacing w:after="0" w:line="240" w:lineRule="auto"/>
    </w:pPr>
    <w:rPr>
      <w:rFonts w:ascii="Symbol" w:hAnsi="Symbol" w:eastAsia="Times New Roman" w:cs="Symbol"/>
      <w:color w:val="000000"/>
      <w:sz w:val="24"/>
      <w:szCs w:val="24"/>
      <w:lang w:eastAsia="lt-LT"/>
    </w:rPr>
  </w:style>
  <w:style w:type="paragraph" w:styleId="Title">
    <w:name w:val="Title"/>
    <w:basedOn w:val="Normal"/>
    <w:link w:val="TitleChar"/>
    <w:qFormat/>
    <w:pPr>
      <w:spacing w:after="0" w:line="240" w:lineRule="auto"/>
      <w:jc w:val="center"/>
    </w:pPr>
    <w:rPr>
      <w:sz w:val="28"/>
      <w:szCs w:val="20"/>
      <w:lang w:eastAsia="en-US"/>
    </w:rPr>
  </w:style>
  <w:style w:type="character" w:styleId="TitleChar" w:customStyle="1">
    <w:name w:val="Title Char"/>
    <w:basedOn w:val="DefaultParagraphFont"/>
    <w:link w:val="Title"/>
    <w:rPr>
      <w:rFonts w:ascii="Times New Roman" w:hAnsi="Times New Roman" w:eastAsia="Times New Roman" w:cs="Times New Roman"/>
      <w:sz w:val="28"/>
      <w:szCs w:val="20"/>
    </w:rPr>
  </w:style>
</w:styles>
</file>

<file path=word/_rels/document.xml.rels>&#65279;<?xml version="1.0" encoding="utf-8" standalone="yes"?><Relationships xmlns="http://schemas.openxmlformats.org/package/2006/relationships"><Relationship Id="rId4" Type="http://schemas.openxmlformats.org/officeDocument/2006/relationships/styles" Target="styles.xml" /><Relationship Id="rId5" Type="http://schemas.openxmlformats.org/officeDocument/2006/relationships/settings" Target="settings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3" Type="http://schemas.openxmlformats.org/officeDocument/2006/relationships/footer" Target="footer3.xml" /><Relationship Id="rId2" Type="http://schemas.openxmlformats.org/officeDocument/2006/relationships/header" Target="header2.xml" /><Relationship Id="rId8" Type="http://schemas.openxmlformats.org/officeDocument/2006/relationships/fontTable" Target="fontTable.xml" /><Relationship Id="rId1" Type="http://schemas.openxmlformats.org/officeDocument/2006/relationships/image" Target="media/image1.png" /><Relationship Id="rId9" Type="http://schemas.openxmlformats.org/officeDocument/2006/relationships/customXml" Target="../customXml/item1.xml" /><Relationship Id="rId10" Type="http://schemas.openxmlformats.org/officeDocument/2006/relationships/customXml" Target="../customXml/item2.xml" /><Relationship Id="rId11" Type="http://schemas.openxmlformats.org/officeDocument/2006/relationships/customXml" Target="../customXml/item3.xml" /><Relationship Id="rId12" Type="http://schemas.openxmlformats.org/officeDocument/2006/relationships/customXml" Target="../customXml/item4.xml" /><Relationship Id="rId13" Type="http://schemas.openxmlformats.org/officeDocument/2006/relationships/customXml" Target="../customXml/item5.xml" 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 panose="020F0302020204030204"/>
        <a:cs typeface="" panose="020F0302020204030204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 panose="020F0502020204030204"/>
        <a:cs typeface="" panose="020F0502020204030204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 xmlns:a="http://schemas.openxmlformats.org/drawingml/2006/main"/>
  <a:extraClrSchemeLst xmlns:a="http://schemas.openxmlformats.org/drawingml/2006/main"/>
  <a:extLst xmlns:a="http://schemas.openxmlformats.org/drawingml/2006/main"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663E56B3B61A8E43B5EBCAF60F439B2A" ma:contentTypeVersion="1" ma:contentTypeDescription="" ma:contentTypeScope="" ma:versionID="d4a6445548a3dcbf8a1e9037e9b64071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028e38073c10afc6f4549e3d91e99a28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PVIS-975562914-83</_dlc_DocId>
    <_dlc_DocIdUrl xmlns="58896280-883f-49e1-8f2c-86b01e3ff616">
      <Url>https://projektai.intranet.litgrid.eu/PWA/LitPol Link 400 kV skirstyklos rekonstravimas didinant perdavimo tinklo atsparumą/_layouts/15/DocIdRedir.aspx?ID=PVIS-975562914-83</Url>
      <Description>PVIS-975562914-83</Description>
    </_dlc_DocIdUrl>
    <Lygiagretus xmlns="58896280-883f-49e1-8f2c-86b01e3ff616">
      <UserInfo>
        <DisplayName>
        </DisplayName>
        <AccountId xsi:nil="true">
        </AccountId>
        <AccountType/>
      </UserInfo>
    </Lygiagretus>
    <Nuoseklūs xmlns="58896280-883f-49e1-8f2c-86b01e3ff616">
      <UserInfo>
        <DisplayName>
        </DisplayName>
        <AccountId xsi:nil="true">
        </AccountId>
        <AccountType/>
      </UserInfo>
    </Nuoseklūs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5A856188-9779-4919-9E69-1B55259FBA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781B96-C4B9-4316-A845-93814C12971F}"/>
</file>

<file path=customXml/itemProps3.xml><?xml version="1.0" encoding="utf-8"?>
<ds:datastoreItem xmlns:ds="http://schemas.openxmlformats.org/officeDocument/2006/customXml" ds:itemID="{0C3D8498-CD2F-437D-8847-0157077D603F}"/>
</file>

<file path=customXml/itemProps4.xml><?xml version="1.0" encoding="utf-8"?>
<ds:datastoreItem xmlns:ds="http://schemas.openxmlformats.org/officeDocument/2006/customXml" ds:itemID="{31FABB2B-62D0-4FFB-9B46-7F198299B39F}"/>
</file>

<file path=customXml/itemProps5.xml><?xml version="1.0" encoding="utf-8"?>
<ds:datastoreItem xmlns:ds="http://schemas.openxmlformats.org/officeDocument/2006/customXml" ds:itemID="{CC6BCA54-D10D-4AE5-A1A9-44573F805521}"/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5</TotalTime>
  <Pages>7</Pages>
  <Words>11292</Words>
  <Characters>6438</Characters>
  <Application>Microsoft Office Word</Application>
  <DocSecurity>0</DocSecurity>
  <Lines>53</Lines>
  <Paragraphs>35</Paragraphs>
  <Company/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Edvardas Lebedžinskas</dc:creator>
  <cp:keywords/>
  <dc:description/>
  <cp:lastModifiedBy>Živilė Razulevičiūtė</cp:lastModifiedBy>
  <cp:revision>2</cp:revision>
  <dcterms:created xsi:type="dcterms:W3CDTF">2020-09-03T11:20:00Z</dcterms:created>
  <dcterms:modified xsi:type="dcterms:W3CDTF">2020-09-03T11:20:00Z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name="_dlc_DocIdItemGuid" pid="2">
    <vt:lpstr>059016b7-5b90-4822-b75d-decd941642b8</vt:lpstr>
  </property>
  <property fmtid="{D5CDD505-2E9C-101B-9397-08002B2CF9AE}" name="ContentTypeId" pid="3">
    <vt:lpstr>0x01010066872F3CC8F7D84995438B893169A0800200663E56B3B61A8E43B5EBCAF60F439B2A</vt:lpstr>
  </property>
</Properties>
</file>